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7A" w:rsidRPr="009623AC" w:rsidRDefault="00EA1E7A" w:rsidP="00EA1E7A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A1E7A" w:rsidRPr="009623AC" w:rsidRDefault="00EA1E7A" w:rsidP="00EA1E7A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EA1E7A" w:rsidRPr="009623AC" w:rsidRDefault="00EA1E7A" w:rsidP="00EA1E7A">
      <w:pPr>
        <w:pStyle w:val="a5"/>
        <w:ind w:right="14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9623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EA1E7A" w:rsidRPr="009623AC" w:rsidTr="00391740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EA1E7A">
            <w:pPr>
              <w:pStyle w:val="a5"/>
              <w:numPr>
                <w:ilvl w:val="0"/>
                <w:numId w:val="1"/>
              </w:numP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EA1E7A" w:rsidRPr="009623AC" w:rsidTr="00391740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EA1E7A" w:rsidRPr="009623AC" w:rsidTr="0039174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“Kubanenergo”, PJSC</w:t>
            </w:r>
          </w:p>
        </w:tc>
      </w:tr>
      <w:tr w:rsidR="00EA1E7A" w:rsidRPr="009623AC" w:rsidTr="0039174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2A, </w:t>
            </w:r>
            <w:proofErr w:type="spellStart"/>
            <w:r w:rsidRPr="009623AC">
              <w:rPr>
                <w:lang w:val="en-US" w:eastAsia="en-US"/>
              </w:rPr>
              <w:t>Stavropolskaya</w:t>
            </w:r>
            <w:proofErr w:type="spellEnd"/>
            <w:r w:rsidRPr="009623AC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EA1E7A" w:rsidRPr="009623AC" w:rsidTr="0039174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EA1E7A" w:rsidRPr="009623AC" w:rsidTr="00391740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EA1E7A" w:rsidRPr="009623AC" w:rsidTr="0039174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EA1E7A" w:rsidRPr="009623AC" w:rsidTr="0039174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9623A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9623A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A1E7A" w:rsidRPr="009623AC" w:rsidTr="00391740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ind w:right="140"/>
              <w:jc w:val="both"/>
              <w:rPr>
                <w:b/>
                <w:bCs/>
                <w:lang w:val="en-US" w:eastAsia="en-US"/>
              </w:rPr>
            </w:pPr>
            <w:r w:rsidRPr="009623AC">
              <w:rPr>
                <w:lang w:val="en-US" w:eastAsia="en-US"/>
              </w:rPr>
              <w:t>2. Statement content</w:t>
            </w:r>
          </w:p>
        </w:tc>
      </w:tr>
      <w:tr w:rsidR="00EA1E7A" w:rsidRPr="009623AC" w:rsidTr="00391740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tabs>
                <w:tab w:val="left" w:pos="284"/>
              </w:tabs>
              <w:ind w:right="140"/>
              <w:jc w:val="both"/>
              <w:rPr>
                <w:b/>
                <w:lang w:val="en-US" w:eastAsia="en-US"/>
              </w:rPr>
            </w:pPr>
            <w:r w:rsidRPr="009623AC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EA1E7A" w:rsidRPr="009623AC" w:rsidRDefault="00EA1E7A" w:rsidP="00391740">
            <w:pPr>
              <w:widowControl w:val="0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Number of BoD members: 11 persons</w:t>
            </w:r>
          </w:p>
          <w:p w:rsidR="00EA1E7A" w:rsidRPr="009623AC" w:rsidRDefault="00EA1E7A" w:rsidP="00391740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Members participated in the meeting: </w:t>
            </w:r>
            <w:r w:rsidRPr="009623AC">
              <w:rPr>
                <w:lang w:val="en-US" w:eastAsia="en-US"/>
              </w:rPr>
              <w:t>8</w:t>
            </w:r>
            <w:r w:rsidRPr="009623AC">
              <w:rPr>
                <w:lang w:val="en-US" w:eastAsia="en-US"/>
              </w:rPr>
              <w:t xml:space="preserve"> persons </w:t>
            </w:r>
          </w:p>
          <w:p w:rsidR="00EA1E7A" w:rsidRPr="009623AC" w:rsidRDefault="00EA1E7A" w:rsidP="00391740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EA1E7A" w:rsidRPr="009623AC" w:rsidTr="00391740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E7A" w:rsidRPr="009623AC" w:rsidRDefault="00EA1E7A" w:rsidP="00391740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E7A" w:rsidRPr="009623AC" w:rsidRDefault="00EA1E7A" w:rsidP="00391740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EA1E7A" w:rsidRPr="009623AC" w:rsidTr="0039174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1E7A" w:rsidRPr="009623AC" w:rsidRDefault="00EA1E7A" w:rsidP="00391740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E7A" w:rsidRPr="009623AC" w:rsidRDefault="00EA1E7A" w:rsidP="00391740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E7A" w:rsidRPr="009623AC" w:rsidRDefault="00EA1E7A" w:rsidP="00391740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E7A" w:rsidRPr="009623AC" w:rsidRDefault="00EA1E7A" w:rsidP="00391740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EA1E7A" w:rsidRPr="009623AC" w:rsidTr="00391740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E7A" w:rsidRPr="009623AC" w:rsidRDefault="00EA1E7A" w:rsidP="0039174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23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1E7A" w:rsidRPr="009623AC" w:rsidRDefault="00EA1E7A" w:rsidP="0039174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E7A" w:rsidRPr="009623AC" w:rsidRDefault="00EA1E7A" w:rsidP="0039174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623A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E7A" w:rsidRPr="009623AC" w:rsidRDefault="00EA1E7A" w:rsidP="00391740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A1E7A" w:rsidRPr="009623AC" w:rsidRDefault="00EA1E7A" w:rsidP="00391740">
            <w:pPr>
              <w:tabs>
                <w:tab w:val="left" w:pos="3355"/>
              </w:tabs>
              <w:ind w:right="140"/>
              <w:jc w:val="both"/>
              <w:rPr>
                <w:lang w:val="en-US" w:eastAsia="en-US"/>
              </w:rPr>
            </w:pPr>
          </w:p>
        </w:tc>
      </w:tr>
      <w:tr w:rsidR="00EA1E7A" w:rsidRPr="009623AC" w:rsidTr="00391740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tabs>
                <w:tab w:val="left" w:pos="426"/>
                <w:tab w:val="left" w:pos="993"/>
              </w:tabs>
              <w:ind w:right="140"/>
              <w:jc w:val="center"/>
              <w:rPr>
                <w:b/>
                <w:lang w:val="en-US" w:eastAsia="en-US"/>
              </w:rPr>
            </w:pPr>
            <w:r w:rsidRPr="009623AC">
              <w:rPr>
                <w:b/>
                <w:lang w:val="en-US" w:eastAsia="en-US"/>
              </w:rPr>
              <w:t>Disclosure of insider information on item No. 1 “</w:t>
            </w:r>
            <w:r w:rsidRPr="009623AC">
              <w:rPr>
                <w:b/>
                <w:color w:val="000000"/>
                <w:lang w:val="en-US"/>
              </w:rPr>
              <w:t>On approval of agreement on arrangement and holding of purchase procedures for delivery of 35-220kV transformers for the needs of Purchaser, concluded between the Company and Scientific and Research Centre of IDGC as transaction of interest”</w:t>
            </w:r>
            <w:r w:rsidRPr="009623AC">
              <w:rPr>
                <w:b/>
                <w:lang w:val="en-US" w:eastAsia="en-US"/>
              </w:rPr>
              <w:t>.</w:t>
            </w:r>
          </w:p>
        </w:tc>
      </w:tr>
      <w:tr w:rsidR="00EA1E7A" w:rsidRPr="009623AC" w:rsidTr="00391740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2.2.1.  Decision adopted by issuer’s Board of Directors: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 determine that the cost of services to conduct one procurement procedure under the agreement on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organization and conduct of procurement procedures for the supply of power transformers of 35-220 kV for the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needs of the Customer (hereinafter - the Agreement, Appendix # 9 to this decision), concluded between </w:t>
            </w:r>
            <w:r w:rsidR="00D87AF1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Kubanenergo,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PJSC and </w:t>
            </w:r>
            <w:r w:rsidR="00D87AF1" w:rsidRPr="009623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Scientific and Research Centre of IDGC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which is a related party transaction, is determined in accordance with Appendix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="00D87AF1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the Agreement.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determine that the total cost of services provided under the Agreement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constitute or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exceed 2%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 of the Company's assets according to its financial statements as of the last reporting date, preceding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date of the transaction.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To approve the Agreement, concluded between the Company and </w:t>
            </w:r>
            <w:r w:rsidR="009623AC" w:rsidRPr="009623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Scientific and Research Centre of IDGC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which is a related party transaction, on the following essential conditions: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Parties of the Agreement: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Customer -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Kubanenergo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PJSC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Contractor - </w:t>
            </w:r>
            <w:r w:rsidR="009623AC" w:rsidRPr="009623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Scientific and Research Centre of IDGC</w:t>
            </w:r>
            <w:r w:rsidR="009623AC" w:rsidRPr="009623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JSC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A1E7A" w:rsidRPr="009623AC" w:rsidRDefault="009623AC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="00EA1E7A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Agreement: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Customer instructs, and Contractor undertakes on his own behalf, but at the expense of Customer to organize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procedures for the supply of power transformers of 35-220 kV for the needs of Customer.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Actions, related to the procurement procedures in the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implementation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Agreement, are carried out by Contractor on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basis of instructions of Customer.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Price of the Agreement: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cost of the services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rendered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Contractor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implementation of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procurement procedure is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determined in accordance with Appendix 6 to the Agreement.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 of the Agreement: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Agreement shall enter into force 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upon the signature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shall be valid for 36 (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hirty six) months. If 30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(thirty) days before the expiry of the Agreement, neither of the Parties declares its intention to renew the Agreement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to conclude a new agreement with other essential conditions, the Agreement is automatically extended for the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 period.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Customer </w:t>
            </w:r>
            <w:r w:rsid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entitled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any time to refuse </w:t>
            </w:r>
            <w:r w:rsid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bookmarkStart w:id="0" w:name="_GoBack"/>
            <w:bookmarkEnd w:id="0"/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Agreement, notifying Contractor, not later</w:t>
            </w:r>
            <w:r w:rsidR="009623AC"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 10 (ten) days before the expected date of termination of the Agreement, without incurring penalties and having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paid for services actually rendered by Contractor</w:t>
            </w:r>
          </w:p>
        </w:tc>
      </w:tr>
      <w:tr w:rsidR="00EA1E7A" w:rsidRPr="009623AC" w:rsidTr="00391740">
        <w:trPr>
          <w:trHeight w:val="112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2.3. Date of holding the meeting of Board of Directors: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October 2015</w:t>
            </w:r>
          </w:p>
          <w:p w:rsidR="00EA1E7A" w:rsidRPr="009623AC" w:rsidRDefault="00EA1E7A" w:rsidP="00EA1E7A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October 2015, minutes of meeting No.22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/2015</w:t>
            </w:r>
            <w:r w:rsidRPr="00962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EA1E7A" w:rsidRPr="009623AC" w:rsidTr="00391740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A" w:rsidRPr="009623AC" w:rsidRDefault="00EA1E7A" w:rsidP="00391740">
            <w:pPr>
              <w:pStyle w:val="a5"/>
              <w:ind w:left="36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EA1E7A" w:rsidRPr="009623AC" w:rsidTr="00391740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E7A" w:rsidRPr="009623AC" w:rsidRDefault="00EA1E7A" w:rsidP="00391740">
            <w:pPr>
              <w:spacing w:line="276" w:lineRule="auto"/>
              <w:ind w:left="57"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3.1 Deputy director general in charge of corporate management (attorney No. 4D-1602 dated 01.07.2015)</w:t>
            </w:r>
          </w:p>
          <w:p w:rsidR="00EA1E7A" w:rsidRPr="009623AC" w:rsidRDefault="00EA1E7A" w:rsidP="00391740">
            <w:pPr>
              <w:spacing w:line="276" w:lineRule="auto"/>
              <w:ind w:right="140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proofErr w:type="spellStart"/>
            <w:r w:rsidRPr="009623AC">
              <w:rPr>
                <w:lang w:val="en-US" w:eastAsia="en-US"/>
              </w:rPr>
              <w:t>Konevets</w:t>
            </w:r>
            <w:proofErr w:type="spellEnd"/>
            <w:r w:rsidRPr="009623AC">
              <w:rPr>
                <w:lang w:val="en-US" w:eastAsia="en-US"/>
              </w:rPr>
              <w:t xml:space="preserve"> K.S.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EA1E7A" w:rsidRPr="009623AC" w:rsidTr="0039174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E7A" w:rsidRPr="009623AC" w:rsidRDefault="00EA1E7A" w:rsidP="00391740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EA1E7A" w:rsidRPr="009623AC" w:rsidTr="00391740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A1E7A" w:rsidRPr="009623AC" w:rsidRDefault="00EA1E7A" w:rsidP="00EA1E7A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3.2 Date: </w:t>
            </w:r>
            <w:r w:rsidRPr="009623AC">
              <w:rPr>
                <w:lang w:val="en-US" w:eastAsia="en-US"/>
              </w:rPr>
              <w:t>2 November</w:t>
            </w:r>
            <w:r w:rsidRPr="009623AC">
              <w:rPr>
                <w:lang w:val="en-US" w:eastAsia="en-US"/>
              </w:rPr>
              <w:t xml:space="preserve">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EA1E7A" w:rsidRPr="009623AC" w:rsidTr="00391740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9623AC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1E7A" w:rsidRPr="009623AC" w:rsidRDefault="00EA1E7A" w:rsidP="00391740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</w:tbl>
    <w:p w:rsidR="00EA1E7A" w:rsidRPr="009623AC" w:rsidRDefault="00EA1E7A" w:rsidP="00EA1E7A">
      <w:pPr>
        <w:ind w:right="140"/>
        <w:jc w:val="both"/>
        <w:rPr>
          <w:lang w:val="en-US"/>
        </w:rPr>
      </w:pPr>
    </w:p>
    <w:p w:rsidR="00EA1E7A" w:rsidRPr="009623AC" w:rsidRDefault="00EA1E7A" w:rsidP="00EA1E7A"/>
    <w:p w:rsidR="00EA1E7A" w:rsidRPr="009623AC" w:rsidRDefault="00EA1E7A" w:rsidP="00EA1E7A"/>
    <w:p w:rsidR="004E06C8" w:rsidRPr="009623AC" w:rsidRDefault="004E06C8"/>
    <w:sectPr w:rsidR="004E06C8" w:rsidRPr="0096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7A"/>
    <w:rsid w:val="004B4C4C"/>
    <w:rsid w:val="004B6A59"/>
    <w:rsid w:val="004E06C8"/>
    <w:rsid w:val="009623AC"/>
    <w:rsid w:val="00D87AF1"/>
    <w:rsid w:val="00E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E7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A1E7A"/>
  </w:style>
  <w:style w:type="paragraph" w:styleId="a5">
    <w:name w:val="No Spacing"/>
    <w:link w:val="a4"/>
    <w:uiPriority w:val="1"/>
    <w:qFormat/>
    <w:rsid w:val="00EA1E7A"/>
    <w:pPr>
      <w:spacing w:after="0" w:line="240" w:lineRule="auto"/>
    </w:pPr>
  </w:style>
  <w:style w:type="table" w:styleId="a6">
    <w:name w:val="Table Grid"/>
    <w:basedOn w:val="a1"/>
    <w:uiPriority w:val="59"/>
    <w:rsid w:val="00EA1E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E7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A1E7A"/>
  </w:style>
  <w:style w:type="paragraph" w:styleId="a5">
    <w:name w:val="No Spacing"/>
    <w:link w:val="a4"/>
    <w:uiPriority w:val="1"/>
    <w:qFormat/>
    <w:rsid w:val="00EA1E7A"/>
    <w:pPr>
      <w:spacing w:after="0" w:line="240" w:lineRule="auto"/>
    </w:pPr>
  </w:style>
  <w:style w:type="table" w:styleId="a6">
    <w:name w:val="Table Grid"/>
    <w:basedOn w:val="a1"/>
    <w:uiPriority w:val="59"/>
    <w:rsid w:val="00EA1E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2015-11-02T14:29:00Z</dcterms:created>
  <dcterms:modified xsi:type="dcterms:W3CDTF">2015-11-02T16:10:00Z</dcterms:modified>
</cp:coreProperties>
</file>