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12" w:rsidRPr="00A82B01" w:rsidRDefault="00092812" w:rsidP="00A82B01">
      <w:pPr>
        <w:pStyle w:val="a3"/>
        <w:spacing w:before="120"/>
        <w:jc w:val="center"/>
        <w:rPr>
          <w:rFonts w:ascii="Times New Roman" w:hAnsi="Times New Roman" w:cs="Times New Roman"/>
          <w:b/>
          <w:bCs/>
          <w:sz w:val="24"/>
          <w:szCs w:val="24"/>
          <w:lang w:val="en-US"/>
        </w:rPr>
      </w:pPr>
      <w:r w:rsidRPr="00A82B01">
        <w:rPr>
          <w:rFonts w:ascii="Times New Roman" w:hAnsi="Times New Roman" w:cs="Times New Roman"/>
          <w:b/>
          <w:bCs/>
          <w:sz w:val="24"/>
          <w:szCs w:val="24"/>
          <w:lang w:val="en-US"/>
        </w:rPr>
        <w:t xml:space="preserve">Corporate action statement </w:t>
      </w:r>
    </w:p>
    <w:p w:rsidR="00092812" w:rsidRPr="00A82B01" w:rsidRDefault="00092812" w:rsidP="00A82B01">
      <w:pPr>
        <w:pStyle w:val="a3"/>
        <w:spacing w:before="120"/>
        <w:jc w:val="center"/>
        <w:rPr>
          <w:rFonts w:ascii="Times New Roman" w:hAnsi="Times New Roman" w:cs="Times New Roman"/>
          <w:b/>
          <w:bCs/>
          <w:sz w:val="24"/>
          <w:szCs w:val="24"/>
          <w:lang w:val="en-US"/>
        </w:rPr>
      </w:pPr>
      <w:r w:rsidRPr="00A82B01">
        <w:rPr>
          <w:rFonts w:ascii="Times New Roman" w:hAnsi="Times New Roman" w:cs="Times New Roman"/>
          <w:b/>
          <w:bCs/>
          <w:sz w:val="24"/>
          <w:szCs w:val="24"/>
          <w:lang w:val="en-US"/>
        </w:rPr>
        <w:t>“On decisions adopted by the Issuer’s Board of Directors”</w:t>
      </w:r>
    </w:p>
    <w:p w:rsidR="00092812" w:rsidRPr="00A82B01" w:rsidRDefault="00092812" w:rsidP="00A82B01">
      <w:pPr>
        <w:pStyle w:val="a3"/>
        <w:spacing w:before="120"/>
        <w:jc w:val="center"/>
        <w:rPr>
          <w:rFonts w:ascii="Times New Roman" w:hAnsi="Times New Roman" w:cs="Times New Roman"/>
          <w:bCs/>
          <w:sz w:val="24"/>
          <w:szCs w:val="24"/>
          <w:lang w:val="en-US"/>
        </w:rPr>
      </w:pPr>
      <w:r w:rsidRPr="00A82B01">
        <w:rPr>
          <w:rFonts w:ascii="Times New Roman" w:hAnsi="Times New Roman" w:cs="Times New Roman"/>
          <w:b/>
          <w:bCs/>
          <w:sz w:val="24"/>
          <w:szCs w:val="24"/>
          <w:lang w:val="en-US"/>
        </w:rPr>
        <w:t>(</w:t>
      </w:r>
      <w:proofErr w:type="gramStart"/>
      <w:r w:rsidRPr="00A82B01">
        <w:rPr>
          <w:rFonts w:ascii="Times New Roman" w:hAnsi="Times New Roman" w:cs="Times New Roman"/>
          <w:b/>
          <w:bCs/>
          <w:sz w:val="24"/>
          <w:szCs w:val="24"/>
          <w:lang w:val="en-US"/>
        </w:rPr>
        <w:t>disclosure</w:t>
      </w:r>
      <w:proofErr w:type="gramEnd"/>
      <w:r w:rsidRPr="00A82B01">
        <w:rPr>
          <w:rFonts w:ascii="Times New Roman" w:hAnsi="Times New Roman" w:cs="Times New Roman"/>
          <w:b/>
          <w:bCs/>
          <w:sz w:val="24"/>
          <w:szCs w:val="24"/>
          <w:lang w:val="en-US"/>
        </w:rPr>
        <w:t xml:space="preserve"> of inside information)</w:t>
      </w:r>
    </w:p>
    <w:tbl>
      <w:tblPr>
        <w:tblStyle w:val="a4"/>
        <w:tblW w:w="9889" w:type="dxa"/>
        <w:tblLayout w:type="fixed"/>
        <w:tblLook w:val="04A0" w:firstRow="1" w:lastRow="0" w:firstColumn="1" w:lastColumn="0" w:noHBand="0" w:noVBand="1"/>
      </w:tblPr>
      <w:tblGrid>
        <w:gridCol w:w="3652"/>
        <w:gridCol w:w="6237"/>
      </w:tblGrid>
      <w:tr w:rsidR="00092812" w:rsidRPr="00A82B01" w:rsidTr="00F06838">
        <w:tc>
          <w:tcPr>
            <w:tcW w:w="9889" w:type="dxa"/>
            <w:gridSpan w:val="2"/>
          </w:tcPr>
          <w:p w:rsidR="00092812" w:rsidRPr="00A82B01" w:rsidRDefault="00092812" w:rsidP="00A82B01">
            <w:pPr>
              <w:pStyle w:val="a3"/>
              <w:numPr>
                <w:ilvl w:val="0"/>
                <w:numId w:val="1"/>
              </w:numPr>
              <w:spacing w:before="120"/>
              <w:jc w:val="center"/>
              <w:rPr>
                <w:rFonts w:ascii="Times New Roman" w:hAnsi="Times New Roman" w:cs="Times New Roman"/>
                <w:sz w:val="24"/>
                <w:szCs w:val="24"/>
              </w:rPr>
            </w:pPr>
            <w:r w:rsidRPr="00A82B01">
              <w:rPr>
                <w:rFonts w:ascii="Times New Roman" w:hAnsi="Times New Roman" w:cs="Times New Roman"/>
                <w:sz w:val="24"/>
                <w:szCs w:val="24"/>
                <w:lang w:val="en-US"/>
              </w:rPr>
              <w:t>General data</w:t>
            </w:r>
          </w:p>
        </w:tc>
      </w:tr>
      <w:tr w:rsidR="00092812" w:rsidRPr="00A82B01" w:rsidTr="00F06838">
        <w:trPr>
          <w:trHeight w:val="599"/>
        </w:trPr>
        <w:tc>
          <w:tcPr>
            <w:tcW w:w="3652" w:type="dxa"/>
          </w:tcPr>
          <w:p w:rsidR="00092812" w:rsidRPr="00A82B01" w:rsidRDefault="00092812" w:rsidP="00A82B01">
            <w:pPr>
              <w:pStyle w:val="a3"/>
              <w:spacing w:before="120"/>
              <w:rPr>
                <w:rFonts w:ascii="Times New Roman" w:hAnsi="Times New Roman" w:cs="Times New Roman"/>
                <w:sz w:val="24"/>
                <w:szCs w:val="24"/>
              </w:rPr>
            </w:pPr>
            <w:r w:rsidRPr="00A82B01">
              <w:rPr>
                <w:rFonts w:ascii="Times New Roman" w:hAnsi="Times New Roman" w:cs="Times New Roman"/>
                <w:sz w:val="24"/>
                <w:szCs w:val="24"/>
              </w:rPr>
              <w:t xml:space="preserve">1.1  </w:t>
            </w:r>
            <w:r w:rsidRPr="00A82B01">
              <w:rPr>
                <w:rFonts w:ascii="Times New Roman" w:hAnsi="Times New Roman" w:cs="Times New Roman"/>
                <w:sz w:val="24"/>
                <w:szCs w:val="24"/>
                <w:lang w:val="en-US"/>
              </w:rPr>
              <w:t>Issuer</w:t>
            </w:r>
            <w:r w:rsidRPr="00A82B01">
              <w:rPr>
                <w:rFonts w:ascii="Times New Roman" w:hAnsi="Times New Roman" w:cs="Times New Roman"/>
                <w:sz w:val="24"/>
                <w:szCs w:val="24"/>
              </w:rPr>
              <w:t>’</w:t>
            </w:r>
            <w:r w:rsidRPr="00A82B01">
              <w:rPr>
                <w:rFonts w:ascii="Times New Roman" w:hAnsi="Times New Roman" w:cs="Times New Roman"/>
                <w:sz w:val="24"/>
                <w:szCs w:val="24"/>
                <w:lang w:val="en-US"/>
              </w:rPr>
              <w:t>s full name</w:t>
            </w:r>
          </w:p>
        </w:tc>
        <w:tc>
          <w:tcPr>
            <w:tcW w:w="6237" w:type="dxa"/>
          </w:tcPr>
          <w:p w:rsidR="00092812" w:rsidRPr="00A82B01" w:rsidRDefault="00092812" w:rsidP="00A82B01">
            <w:pPr>
              <w:pStyle w:val="a3"/>
              <w:spacing w:before="120"/>
              <w:rPr>
                <w:rFonts w:ascii="Times New Roman" w:hAnsi="Times New Roman" w:cs="Times New Roman"/>
                <w:sz w:val="24"/>
                <w:szCs w:val="24"/>
                <w:lang w:val="en-US"/>
              </w:rPr>
            </w:pPr>
            <w:r w:rsidRPr="00A82B01">
              <w:rPr>
                <w:rFonts w:ascii="Times New Roman" w:hAnsi="Times New Roman" w:cs="Times New Roman"/>
                <w:sz w:val="24"/>
                <w:szCs w:val="24"/>
                <w:lang w:val="en-US"/>
              </w:rPr>
              <w:t>Open joint-stock company of Power and Electrification of Kuban</w:t>
            </w:r>
          </w:p>
        </w:tc>
      </w:tr>
      <w:tr w:rsidR="00092812" w:rsidRPr="00A82B01" w:rsidTr="00F06838">
        <w:tc>
          <w:tcPr>
            <w:tcW w:w="3652" w:type="dxa"/>
          </w:tcPr>
          <w:p w:rsidR="00092812" w:rsidRPr="00A82B01" w:rsidRDefault="00092812" w:rsidP="00A82B01">
            <w:pPr>
              <w:pStyle w:val="a3"/>
              <w:spacing w:before="120"/>
              <w:rPr>
                <w:rFonts w:ascii="Times New Roman" w:hAnsi="Times New Roman" w:cs="Times New Roman"/>
                <w:sz w:val="24"/>
                <w:szCs w:val="24"/>
              </w:rPr>
            </w:pPr>
            <w:r w:rsidRPr="00A82B01">
              <w:rPr>
                <w:rFonts w:ascii="Times New Roman" w:hAnsi="Times New Roman" w:cs="Times New Roman"/>
                <w:sz w:val="24"/>
                <w:szCs w:val="24"/>
              </w:rPr>
              <w:t xml:space="preserve">1.2. </w:t>
            </w:r>
            <w:r w:rsidRPr="00A82B01">
              <w:rPr>
                <w:rFonts w:ascii="Times New Roman" w:hAnsi="Times New Roman" w:cs="Times New Roman"/>
                <w:sz w:val="24"/>
                <w:szCs w:val="24"/>
                <w:lang w:val="en-US"/>
              </w:rPr>
              <w:t>Issuer</w:t>
            </w:r>
            <w:r w:rsidRPr="00A82B01">
              <w:rPr>
                <w:rFonts w:ascii="Times New Roman" w:hAnsi="Times New Roman" w:cs="Times New Roman"/>
                <w:sz w:val="24"/>
                <w:szCs w:val="24"/>
              </w:rPr>
              <w:t>’</w:t>
            </w:r>
            <w:r w:rsidRPr="00A82B01">
              <w:rPr>
                <w:rFonts w:ascii="Times New Roman" w:hAnsi="Times New Roman" w:cs="Times New Roman"/>
                <w:sz w:val="24"/>
                <w:szCs w:val="24"/>
                <w:lang w:val="en-US"/>
              </w:rPr>
              <w:t>s short name</w:t>
            </w:r>
          </w:p>
        </w:tc>
        <w:tc>
          <w:tcPr>
            <w:tcW w:w="6237" w:type="dxa"/>
          </w:tcPr>
          <w:p w:rsidR="00092812" w:rsidRPr="00A82B01" w:rsidRDefault="00092812" w:rsidP="00A82B01">
            <w:pPr>
              <w:pStyle w:val="a3"/>
              <w:spacing w:before="120"/>
              <w:rPr>
                <w:rFonts w:ascii="Times New Roman" w:hAnsi="Times New Roman" w:cs="Times New Roman"/>
                <w:sz w:val="24"/>
                <w:szCs w:val="24"/>
              </w:rPr>
            </w:pPr>
            <w:r w:rsidRPr="00A82B01">
              <w:rPr>
                <w:rFonts w:ascii="Times New Roman" w:hAnsi="Times New Roman" w:cs="Times New Roman"/>
                <w:sz w:val="24"/>
                <w:szCs w:val="24"/>
                <w:lang w:val="en-US"/>
              </w:rPr>
              <w:t>“Kubanenergo”, JSC</w:t>
            </w:r>
          </w:p>
        </w:tc>
      </w:tr>
      <w:tr w:rsidR="00092812" w:rsidRPr="00A82B01" w:rsidTr="00F06838">
        <w:tc>
          <w:tcPr>
            <w:tcW w:w="3652" w:type="dxa"/>
          </w:tcPr>
          <w:p w:rsidR="00092812" w:rsidRPr="00A82B01" w:rsidRDefault="00092812" w:rsidP="00A82B01">
            <w:pPr>
              <w:pStyle w:val="a3"/>
              <w:spacing w:before="120"/>
              <w:rPr>
                <w:rFonts w:ascii="Times New Roman" w:hAnsi="Times New Roman" w:cs="Times New Roman"/>
                <w:sz w:val="24"/>
                <w:szCs w:val="24"/>
                <w:lang w:val="en-US"/>
              </w:rPr>
            </w:pPr>
            <w:r w:rsidRPr="00A82B01">
              <w:rPr>
                <w:rFonts w:ascii="Times New Roman" w:hAnsi="Times New Roman" w:cs="Times New Roman"/>
                <w:sz w:val="24"/>
                <w:szCs w:val="24"/>
              </w:rPr>
              <w:t xml:space="preserve">1.3. </w:t>
            </w:r>
            <w:r w:rsidRPr="00A82B01">
              <w:rPr>
                <w:rFonts w:ascii="Times New Roman" w:hAnsi="Times New Roman" w:cs="Times New Roman"/>
                <w:sz w:val="24"/>
                <w:szCs w:val="24"/>
                <w:lang w:val="en-US"/>
              </w:rPr>
              <w:t>Issuer’s location</w:t>
            </w:r>
          </w:p>
        </w:tc>
        <w:tc>
          <w:tcPr>
            <w:tcW w:w="6237" w:type="dxa"/>
          </w:tcPr>
          <w:p w:rsidR="00092812" w:rsidRPr="00A82B01" w:rsidRDefault="00092812" w:rsidP="00A82B01">
            <w:pPr>
              <w:spacing w:before="120"/>
              <w:rPr>
                <w:lang w:val="en-US" w:eastAsia="en-US"/>
              </w:rPr>
            </w:pPr>
            <w:r w:rsidRPr="00A82B01">
              <w:rPr>
                <w:lang w:val="en-US" w:eastAsia="en-US"/>
              </w:rPr>
              <w:t>2, Stavropolskaya str., Krasnodar, Russian federation, 350033</w:t>
            </w:r>
          </w:p>
        </w:tc>
      </w:tr>
      <w:tr w:rsidR="00092812" w:rsidRPr="00A82B01" w:rsidTr="00F06838">
        <w:tc>
          <w:tcPr>
            <w:tcW w:w="3652" w:type="dxa"/>
          </w:tcPr>
          <w:p w:rsidR="00092812" w:rsidRPr="00A82B01" w:rsidRDefault="00092812" w:rsidP="00A82B01">
            <w:pPr>
              <w:pStyle w:val="a3"/>
              <w:spacing w:before="120"/>
              <w:rPr>
                <w:rFonts w:ascii="Times New Roman" w:hAnsi="Times New Roman" w:cs="Times New Roman"/>
                <w:sz w:val="24"/>
                <w:szCs w:val="24"/>
                <w:lang w:val="en-US"/>
              </w:rPr>
            </w:pPr>
            <w:r w:rsidRPr="00A82B01">
              <w:rPr>
                <w:rFonts w:ascii="Times New Roman" w:hAnsi="Times New Roman" w:cs="Times New Roman"/>
                <w:sz w:val="24"/>
                <w:szCs w:val="24"/>
              </w:rPr>
              <w:t xml:space="preserve">1.4. </w:t>
            </w:r>
            <w:r w:rsidRPr="00A82B01">
              <w:rPr>
                <w:rFonts w:ascii="Times New Roman" w:hAnsi="Times New Roman" w:cs="Times New Roman"/>
                <w:sz w:val="24"/>
                <w:szCs w:val="24"/>
                <w:lang w:val="en-US"/>
              </w:rPr>
              <w:t>Issuer’s PSRN</w:t>
            </w:r>
          </w:p>
        </w:tc>
        <w:tc>
          <w:tcPr>
            <w:tcW w:w="6237" w:type="dxa"/>
          </w:tcPr>
          <w:p w:rsidR="00092812" w:rsidRPr="00A82B01" w:rsidRDefault="00092812" w:rsidP="00A82B01">
            <w:pPr>
              <w:pStyle w:val="a3"/>
              <w:spacing w:before="120"/>
              <w:rPr>
                <w:rFonts w:ascii="Times New Roman" w:hAnsi="Times New Roman" w:cs="Times New Roman"/>
                <w:sz w:val="24"/>
                <w:szCs w:val="24"/>
              </w:rPr>
            </w:pPr>
            <w:r w:rsidRPr="00A82B01">
              <w:rPr>
                <w:rFonts w:ascii="Times New Roman" w:hAnsi="Times New Roman" w:cs="Times New Roman"/>
                <w:sz w:val="24"/>
                <w:szCs w:val="24"/>
              </w:rPr>
              <w:t>1022301427268</w:t>
            </w:r>
          </w:p>
        </w:tc>
      </w:tr>
      <w:tr w:rsidR="00092812" w:rsidRPr="00A82B01" w:rsidTr="00F06838">
        <w:tc>
          <w:tcPr>
            <w:tcW w:w="3652" w:type="dxa"/>
          </w:tcPr>
          <w:p w:rsidR="00092812" w:rsidRPr="00A82B01" w:rsidRDefault="00092812" w:rsidP="00A82B01">
            <w:pPr>
              <w:pStyle w:val="a3"/>
              <w:spacing w:before="120"/>
              <w:rPr>
                <w:rFonts w:ascii="Times New Roman" w:hAnsi="Times New Roman" w:cs="Times New Roman"/>
                <w:sz w:val="24"/>
                <w:szCs w:val="24"/>
                <w:lang w:val="en-US"/>
              </w:rPr>
            </w:pPr>
            <w:r w:rsidRPr="00A82B01">
              <w:rPr>
                <w:rFonts w:ascii="Times New Roman" w:hAnsi="Times New Roman" w:cs="Times New Roman"/>
                <w:sz w:val="24"/>
                <w:szCs w:val="24"/>
              </w:rPr>
              <w:t xml:space="preserve">1.5. </w:t>
            </w:r>
            <w:r w:rsidRPr="00A82B01">
              <w:rPr>
                <w:rFonts w:ascii="Times New Roman" w:hAnsi="Times New Roman" w:cs="Times New Roman"/>
                <w:sz w:val="24"/>
                <w:szCs w:val="24"/>
                <w:lang w:val="en-US"/>
              </w:rPr>
              <w:t>Issuer’s TIN</w:t>
            </w:r>
          </w:p>
        </w:tc>
        <w:tc>
          <w:tcPr>
            <w:tcW w:w="6237" w:type="dxa"/>
          </w:tcPr>
          <w:p w:rsidR="00092812" w:rsidRPr="00A82B01" w:rsidRDefault="00092812" w:rsidP="00A82B01">
            <w:pPr>
              <w:pStyle w:val="a3"/>
              <w:spacing w:before="120"/>
              <w:rPr>
                <w:rFonts w:ascii="Times New Roman" w:hAnsi="Times New Roman" w:cs="Times New Roman"/>
                <w:sz w:val="24"/>
                <w:szCs w:val="24"/>
              </w:rPr>
            </w:pPr>
            <w:r w:rsidRPr="00A82B01">
              <w:rPr>
                <w:rFonts w:ascii="Times New Roman" w:hAnsi="Times New Roman" w:cs="Times New Roman"/>
                <w:sz w:val="24"/>
                <w:szCs w:val="24"/>
              </w:rPr>
              <w:t>2309001660</w:t>
            </w:r>
          </w:p>
        </w:tc>
      </w:tr>
      <w:tr w:rsidR="00092812" w:rsidRPr="00A82B01" w:rsidTr="00F06838">
        <w:tc>
          <w:tcPr>
            <w:tcW w:w="3652" w:type="dxa"/>
          </w:tcPr>
          <w:p w:rsidR="00092812" w:rsidRPr="00A82B01" w:rsidRDefault="00092812" w:rsidP="00A82B01">
            <w:pPr>
              <w:pStyle w:val="a3"/>
              <w:spacing w:before="120"/>
              <w:rPr>
                <w:rFonts w:ascii="Times New Roman" w:hAnsi="Times New Roman" w:cs="Times New Roman"/>
                <w:sz w:val="24"/>
                <w:szCs w:val="24"/>
                <w:lang w:val="en-US"/>
              </w:rPr>
            </w:pPr>
            <w:r w:rsidRPr="00A82B01">
              <w:rPr>
                <w:rFonts w:ascii="Times New Roman" w:hAnsi="Times New Roman" w:cs="Times New Roman"/>
                <w:sz w:val="24"/>
                <w:szCs w:val="24"/>
                <w:lang w:val="en-US"/>
              </w:rPr>
              <w:t>1.6. Issuer’s unique code given by registering authority</w:t>
            </w:r>
          </w:p>
        </w:tc>
        <w:tc>
          <w:tcPr>
            <w:tcW w:w="6237" w:type="dxa"/>
          </w:tcPr>
          <w:p w:rsidR="00092812" w:rsidRPr="00A82B01" w:rsidRDefault="00092812" w:rsidP="00A82B01">
            <w:pPr>
              <w:pStyle w:val="a3"/>
              <w:spacing w:before="120"/>
              <w:rPr>
                <w:rFonts w:ascii="Times New Roman" w:hAnsi="Times New Roman" w:cs="Times New Roman"/>
                <w:sz w:val="24"/>
                <w:szCs w:val="24"/>
                <w:lang w:val="en-US"/>
              </w:rPr>
            </w:pPr>
            <w:r w:rsidRPr="00A82B01">
              <w:rPr>
                <w:rFonts w:ascii="Times New Roman" w:hAnsi="Times New Roman" w:cs="Times New Roman"/>
                <w:sz w:val="24"/>
                <w:szCs w:val="24"/>
              </w:rPr>
              <w:t>00063-</w:t>
            </w:r>
            <w:r w:rsidRPr="00A82B01">
              <w:rPr>
                <w:rFonts w:ascii="Times New Roman" w:hAnsi="Times New Roman" w:cs="Times New Roman"/>
                <w:sz w:val="24"/>
                <w:szCs w:val="24"/>
                <w:lang w:val="en-US"/>
              </w:rPr>
              <w:t>A</w:t>
            </w:r>
          </w:p>
        </w:tc>
      </w:tr>
      <w:tr w:rsidR="00092812" w:rsidRPr="00A82B01" w:rsidTr="00F06838">
        <w:tc>
          <w:tcPr>
            <w:tcW w:w="3652" w:type="dxa"/>
          </w:tcPr>
          <w:p w:rsidR="00092812" w:rsidRPr="00A82B01" w:rsidRDefault="00092812" w:rsidP="00A82B01">
            <w:pPr>
              <w:pStyle w:val="a3"/>
              <w:spacing w:before="120"/>
              <w:rPr>
                <w:rFonts w:ascii="Times New Roman" w:hAnsi="Times New Roman" w:cs="Times New Roman"/>
                <w:sz w:val="24"/>
                <w:szCs w:val="24"/>
                <w:lang w:val="en-US"/>
              </w:rPr>
            </w:pPr>
            <w:r w:rsidRPr="00A82B01">
              <w:rPr>
                <w:rFonts w:ascii="Times New Roman" w:hAnsi="Times New Roman" w:cs="Times New Roman"/>
                <w:sz w:val="24"/>
                <w:szCs w:val="24"/>
              </w:rPr>
              <w:t xml:space="preserve">1.7. </w:t>
            </w:r>
            <w:r w:rsidRPr="00A82B01">
              <w:rPr>
                <w:rFonts w:ascii="Times New Roman" w:hAnsi="Times New Roman" w:cs="Times New Roman"/>
                <w:sz w:val="24"/>
                <w:szCs w:val="24"/>
                <w:lang w:val="en-US"/>
              </w:rPr>
              <w:t>Web-page</w:t>
            </w:r>
          </w:p>
        </w:tc>
        <w:tc>
          <w:tcPr>
            <w:tcW w:w="6237" w:type="dxa"/>
          </w:tcPr>
          <w:p w:rsidR="00910E92" w:rsidRPr="00A82B01" w:rsidRDefault="00A82B01" w:rsidP="00A82B01">
            <w:pPr>
              <w:pStyle w:val="a3"/>
              <w:spacing w:before="120"/>
              <w:rPr>
                <w:rFonts w:ascii="Times New Roman" w:hAnsi="Times New Roman" w:cs="Times New Roman"/>
                <w:sz w:val="24"/>
                <w:szCs w:val="24"/>
                <w:lang w:val="en-US"/>
              </w:rPr>
            </w:pPr>
            <w:hyperlink r:id="rId7" w:history="1">
              <w:r w:rsidR="00910E92" w:rsidRPr="00A82B01">
                <w:rPr>
                  <w:rFonts w:ascii="Times New Roman" w:hAnsi="Times New Roman" w:cs="Times New Roman"/>
                  <w:sz w:val="24"/>
                  <w:szCs w:val="24"/>
                  <w:lang w:val="en-US"/>
                </w:rPr>
                <w:t>www.kubanenergo.ru</w:t>
              </w:r>
            </w:hyperlink>
            <w:bookmarkStart w:id="0" w:name="_GoBack"/>
            <w:bookmarkEnd w:id="0"/>
          </w:p>
          <w:p w:rsidR="00092812" w:rsidRPr="00A82B01" w:rsidRDefault="00A82B01" w:rsidP="00A82B01">
            <w:pPr>
              <w:pStyle w:val="a3"/>
              <w:spacing w:before="120"/>
              <w:rPr>
                <w:rFonts w:ascii="Times New Roman" w:hAnsi="Times New Roman" w:cs="Times New Roman"/>
                <w:sz w:val="24"/>
                <w:szCs w:val="24"/>
                <w:lang w:val="en-US"/>
              </w:rPr>
            </w:pPr>
            <w:hyperlink r:id="rId8" w:history="1">
              <w:r w:rsidR="00092812" w:rsidRPr="00A82B01">
                <w:rPr>
                  <w:rStyle w:val="a5"/>
                  <w:rFonts w:ascii="Times New Roman" w:hAnsi="Times New Roman" w:cs="Times New Roman"/>
                  <w:sz w:val="24"/>
                  <w:szCs w:val="24"/>
                  <w:lang w:val="en-US"/>
                </w:rPr>
                <w:t>http://www.e-disclosure.ru/portal/company.aspx?id=2827</w:t>
              </w:r>
            </w:hyperlink>
          </w:p>
        </w:tc>
      </w:tr>
      <w:tr w:rsidR="00092812" w:rsidRPr="00A82B01" w:rsidTr="00F06838">
        <w:tc>
          <w:tcPr>
            <w:tcW w:w="9889" w:type="dxa"/>
            <w:gridSpan w:val="2"/>
          </w:tcPr>
          <w:p w:rsidR="00092812" w:rsidRPr="00A82B01" w:rsidRDefault="00092812" w:rsidP="00A82B01">
            <w:pPr>
              <w:widowControl w:val="0"/>
              <w:shd w:val="clear" w:color="auto" w:fill="FFFFFF"/>
              <w:tabs>
                <w:tab w:val="left" w:pos="432"/>
              </w:tabs>
              <w:adjustRightInd w:val="0"/>
              <w:spacing w:before="120"/>
              <w:jc w:val="center"/>
              <w:rPr>
                <w:b/>
                <w:bCs/>
                <w:lang w:val="en-US" w:eastAsia="en-US"/>
              </w:rPr>
            </w:pPr>
            <w:r w:rsidRPr="00A82B01">
              <w:rPr>
                <w:lang w:val="en-US" w:eastAsia="en-US"/>
              </w:rPr>
              <w:t>2. Statement content</w:t>
            </w:r>
          </w:p>
        </w:tc>
      </w:tr>
      <w:tr w:rsidR="00092812" w:rsidRPr="00A82B01" w:rsidTr="00A82B01">
        <w:trPr>
          <w:trHeight w:val="3220"/>
        </w:trPr>
        <w:tc>
          <w:tcPr>
            <w:tcW w:w="9889" w:type="dxa"/>
            <w:gridSpan w:val="2"/>
          </w:tcPr>
          <w:p w:rsidR="00092812" w:rsidRPr="00A82B01" w:rsidRDefault="00092812" w:rsidP="00A82B01">
            <w:pPr>
              <w:tabs>
                <w:tab w:val="left" w:pos="284"/>
              </w:tabs>
              <w:spacing w:before="120"/>
              <w:jc w:val="both"/>
              <w:rPr>
                <w:b/>
                <w:lang w:val="en-US"/>
              </w:rPr>
            </w:pPr>
            <w:r w:rsidRPr="00A82B01">
              <w:rPr>
                <w:b/>
                <w:lang w:val="en-US"/>
              </w:rPr>
              <w:t>2.1 Quorum of meeting of issuer’s BoD and results of voting on the adopted decisions:</w:t>
            </w:r>
          </w:p>
          <w:p w:rsidR="00092812" w:rsidRPr="00A82B01" w:rsidRDefault="00092812" w:rsidP="00A82B01">
            <w:pPr>
              <w:widowControl w:val="0"/>
              <w:spacing w:before="120"/>
              <w:jc w:val="both"/>
              <w:rPr>
                <w:lang w:val="en-US"/>
              </w:rPr>
            </w:pPr>
            <w:r w:rsidRPr="00A82B01">
              <w:rPr>
                <w:lang w:val="en-US"/>
              </w:rPr>
              <w:t>Number of BoD members: 11 persons</w:t>
            </w:r>
          </w:p>
          <w:p w:rsidR="00092812" w:rsidRPr="00A82B01" w:rsidRDefault="00092812" w:rsidP="00A82B01">
            <w:pPr>
              <w:tabs>
                <w:tab w:val="left" w:pos="284"/>
              </w:tabs>
              <w:spacing w:before="120"/>
              <w:jc w:val="both"/>
              <w:rPr>
                <w:lang w:val="en-US"/>
              </w:rPr>
            </w:pPr>
            <w:r w:rsidRPr="00A82B01">
              <w:rPr>
                <w:lang w:val="en-US"/>
              </w:rPr>
              <w:t xml:space="preserve">Member participated in the meeting: </w:t>
            </w:r>
            <w:r w:rsidR="00910E92" w:rsidRPr="00A82B01">
              <w:rPr>
                <w:lang w:val="en-US"/>
              </w:rPr>
              <w:t>8</w:t>
            </w:r>
            <w:r w:rsidRPr="00A82B01">
              <w:rPr>
                <w:lang w:val="en-US"/>
              </w:rPr>
              <w:t xml:space="preserve"> persons </w:t>
            </w:r>
          </w:p>
          <w:p w:rsidR="00092812" w:rsidRPr="00A82B01" w:rsidRDefault="00092812" w:rsidP="00A82B01">
            <w:pPr>
              <w:tabs>
                <w:tab w:val="left" w:pos="284"/>
              </w:tabs>
              <w:spacing w:before="120"/>
              <w:jc w:val="both"/>
              <w:rPr>
                <w:lang w:val="en-US"/>
              </w:rPr>
            </w:pPr>
            <w:r w:rsidRPr="00A82B01">
              <w:rPr>
                <w:lang w:val="en-US"/>
              </w:rPr>
              <w:t>Quorum necessary for holding the meeting of Kubanenergo JSC Board of Directors is present.</w:t>
            </w:r>
          </w:p>
          <w:p w:rsidR="00092812" w:rsidRPr="00A82B01" w:rsidRDefault="00092812" w:rsidP="00A82B01">
            <w:pPr>
              <w:pStyle w:val="a3"/>
              <w:spacing w:before="120"/>
              <w:jc w:val="both"/>
              <w:rPr>
                <w:rFonts w:ascii="Times New Roman" w:hAnsi="Times New Roman" w:cs="Times New Roman"/>
                <w:sz w:val="24"/>
                <w:szCs w:val="24"/>
                <w:lang w:val="en-US"/>
              </w:rPr>
            </w:pPr>
            <w:r w:rsidRPr="00A82B01">
              <w:rPr>
                <w:rFonts w:ascii="Times New Roman" w:hAnsi="Times New Roman" w:cs="Times New Roman"/>
                <w:sz w:val="24"/>
                <w:szCs w:val="24"/>
                <w:lang w:val="en-US"/>
              </w:rPr>
              <w:t xml:space="preserve">Voting results: </w:t>
            </w:r>
          </w:p>
          <w:tbl>
            <w:tblPr>
              <w:tblStyle w:val="a4"/>
              <w:tblW w:w="0" w:type="auto"/>
              <w:jc w:val="center"/>
              <w:tblLayout w:type="fixed"/>
              <w:tblLook w:val="04A0" w:firstRow="1" w:lastRow="0" w:firstColumn="1" w:lastColumn="0" w:noHBand="0" w:noVBand="1"/>
            </w:tblPr>
            <w:tblGrid>
              <w:gridCol w:w="1129"/>
              <w:gridCol w:w="1843"/>
              <w:gridCol w:w="1985"/>
              <w:gridCol w:w="2161"/>
            </w:tblGrid>
            <w:tr w:rsidR="00A607B8" w:rsidRPr="00A82B01" w:rsidTr="00F06838">
              <w:trPr>
                <w:jc w:val="center"/>
              </w:trPr>
              <w:tc>
                <w:tcPr>
                  <w:tcW w:w="1129" w:type="dxa"/>
                  <w:vMerge w:val="restart"/>
                </w:tcPr>
                <w:p w:rsidR="00A607B8" w:rsidRPr="00A82B01" w:rsidRDefault="00A607B8" w:rsidP="00A82B01">
                  <w:pPr>
                    <w:pStyle w:val="a3"/>
                    <w:spacing w:before="120"/>
                    <w:jc w:val="center"/>
                    <w:rPr>
                      <w:rFonts w:ascii="Times New Roman" w:hAnsi="Times New Roman" w:cs="Times New Roman"/>
                      <w:sz w:val="24"/>
                      <w:szCs w:val="24"/>
                      <w:lang w:val="en-US"/>
                    </w:rPr>
                  </w:pPr>
                  <w:r w:rsidRPr="00A82B01">
                    <w:rPr>
                      <w:rFonts w:ascii="Times New Roman" w:hAnsi="Times New Roman" w:cs="Times New Roman"/>
                      <w:sz w:val="24"/>
                      <w:szCs w:val="24"/>
                      <w:lang w:val="en-US"/>
                    </w:rPr>
                    <w:t>No.</w:t>
                  </w:r>
                </w:p>
              </w:tc>
              <w:tc>
                <w:tcPr>
                  <w:tcW w:w="5989" w:type="dxa"/>
                  <w:gridSpan w:val="3"/>
                </w:tcPr>
                <w:p w:rsidR="00A607B8" w:rsidRPr="00A82B01" w:rsidRDefault="00A607B8" w:rsidP="00A82B01">
                  <w:pPr>
                    <w:pStyle w:val="a3"/>
                    <w:spacing w:before="120"/>
                    <w:jc w:val="center"/>
                    <w:rPr>
                      <w:rFonts w:ascii="Times New Roman" w:hAnsi="Times New Roman" w:cs="Times New Roman"/>
                      <w:sz w:val="24"/>
                      <w:szCs w:val="24"/>
                      <w:lang w:val="en-US"/>
                    </w:rPr>
                  </w:pPr>
                  <w:r w:rsidRPr="00A82B01">
                    <w:rPr>
                      <w:rFonts w:ascii="Times New Roman" w:hAnsi="Times New Roman" w:cs="Times New Roman"/>
                      <w:sz w:val="24"/>
                      <w:szCs w:val="24"/>
                      <w:lang w:val="en-US"/>
                    </w:rPr>
                    <w:t>Votes</w:t>
                  </w:r>
                </w:p>
              </w:tc>
            </w:tr>
            <w:tr w:rsidR="00A607B8" w:rsidRPr="00A82B01" w:rsidTr="00F06838">
              <w:trPr>
                <w:jc w:val="center"/>
              </w:trPr>
              <w:tc>
                <w:tcPr>
                  <w:tcW w:w="1129" w:type="dxa"/>
                  <w:vMerge/>
                </w:tcPr>
                <w:p w:rsidR="00A607B8" w:rsidRPr="00A82B01" w:rsidRDefault="00A607B8" w:rsidP="00A82B01">
                  <w:pPr>
                    <w:pStyle w:val="a3"/>
                    <w:spacing w:before="120"/>
                    <w:jc w:val="center"/>
                    <w:rPr>
                      <w:rFonts w:ascii="Times New Roman" w:hAnsi="Times New Roman" w:cs="Times New Roman"/>
                      <w:sz w:val="24"/>
                      <w:szCs w:val="24"/>
                    </w:rPr>
                  </w:pPr>
                </w:p>
              </w:tc>
              <w:tc>
                <w:tcPr>
                  <w:tcW w:w="1843" w:type="dxa"/>
                </w:tcPr>
                <w:p w:rsidR="00A607B8" w:rsidRPr="00A82B01" w:rsidRDefault="00A607B8" w:rsidP="00A82B01">
                  <w:pPr>
                    <w:pStyle w:val="a3"/>
                    <w:spacing w:before="120"/>
                    <w:jc w:val="center"/>
                    <w:rPr>
                      <w:rFonts w:ascii="Times New Roman" w:hAnsi="Times New Roman" w:cs="Times New Roman"/>
                      <w:sz w:val="24"/>
                      <w:szCs w:val="24"/>
                    </w:rPr>
                  </w:pPr>
                  <w:r w:rsidRPr="00A82B01">
                    <w:rPr>
                      <w:rFonts w:ascii="Times New Roman" w:hAnsi="Times New Roman" w:cs="Times New Roman"/>
                      <w:sz w:val="24"/>
                      <w:szCs w:val="24"/>
                      <w:lang w:val="en-US"/>
                    </w:rPr>
                    <w:t>FOR</w:t>
                  </w:r>
                </w:p>
              </w:tc>
              <w:tc>
                <w:tcPr>
                  <w:tcW w:w="1985" w:type="dxa"/>
                </w:tcPr>
                <w:p w:rsidR="00A607B8" w:rsidRPr="00A82B01" w:rsidRDefault="00A607B8" w:rsidP="00A82B01">
                  <w:pPr>
                    <w:pStyle w:val="a3"/>
                    <w:spacing w:before="120"/>
                    <w:jc w:val="center"/>
                    <w:rPr>
                      <w:rFonts w:ascii="Times New Roman" w:hAnsi="Times New Roman" w:cs="Times New Roman"/>
                      <w:sz w:val="24"/>
                      <w:szCs w:val="24"/>
                    </w:rPr>
                  </w:pPr>
                  <w:r w:rsidRPr="00A82B01">
                    <w:rPr>
                      <w:rFonts w:ascii="Times New Roman" w:hAnsi="Times New Roman" w:cs="Times New Roman"/>
                      <w:sz w:val="24"/>
                      <w:szCs w:val="24"/>
                      <w:lang w:val="en-US"/>
                    </w:rPr>
                    <w:t>AGAINST</w:t>
                  </w:r>
                </w:p>
              </w:tc>
              <w:tc>
                <w:tcPr>
                  <w:tcW w:w="2161" w:type="dxa"/>
                </w:tcPr>
                <w:p w:rsidR="00A607B8" w:rsidRPr="00A82B01" w:rsidRDefault="00A607B8" w:rsidP="00A82B01">
                  <w:pPr>
                    <w:pStyle w:val="a3"/>
                    <w:spacing w:before="120"/>
                    <w:jc w:val="center"/>
                    <w:rPr>
                      <w:rFonts w:ascii="Times New Roman" w:hAnsi="Times New Roman" w:cs="Times New Roman"/>
                      <w:sz w:val="24"/>
                      <w:szCs w:val="24"/>
                    </w:rPr>
                  </w:pPr>
                  <w:r w:rsidRPr="00A82B01">
                    <w:rPr>
                      <w:rFonts w:ascii="Times New Roman" w:hAnsi="Times New Roman" w:cs="Times New Roman"/>
                      <w:sz w:val="24"/>
                      <w:szCs w:val="24"/>
                      <w:lang w:val="en-US"/>
                    </w:rPr>
                    <w:t>ABSTAINED</w:t>
                  </w:r>
                </w:p>
              </w:tc>
            </w:tr>
            <w:tr w:rsidR="00A607B8" w:rsidRPr="00A82B01" w:rsidTr="00F06838">
              <w:trPr>
                <w:jc w:val="center"/>
              </w:trPr>
              <w:tc>
                <w:tcPr>
                  <w:tcW w:w="1129" w:type="dxa"/>
                </w:tcPr>
                <w:p w:rsidR="00A607B8" w:rsidRPr="00A82B01" w:rsidRDefault="00A607B8" w:rsidP="00A82B01">
                  <w:pPr>
                    <w:pStyle w:val="a3"/>
                    <w:spacing w:before="120"/>
                    <w:jc w:val="center"/>
                    <w:rPr>
                      <w:rFonts w:ascii="Times New Roman" w:hAnsi="Times New Roman" w:cs="Times New Roman"/>
                      <w:sz w:val="24"/>
                      <w:szCs w:val="24"/>
                    </w:rPr>
                  </w:pPr>
                  <w:r w:rsidRPr="00A82B01">
                    <w:rPr>
                      <w:rFonts w:ascii="Times New Roman" w:hAnsi="Times New Roman" w:cs="Times New Roman"/>
                      <w:sz w:val="24"/>
                      <w:szCs w:val="24"/>
                    </w:rPr>
                    <w:t>1</w:t>
                  </w:r>
                </w:p>
              </w:tc>
              <w:tc>
                <w:tcPr>
                  <w:tcW w:w="1843" w:type="dxa"/>
                </w:tcPr>
                <w:p w:rsidR="00A607B8" w:rsidRPr="00A82B01" w:rsidRDefault="00A607B8" w:rsidP="00A82B01">
                  <w:pPr>
                    <w:pStyle w:val="a3"/>
                    <w:spacing w:before="120"/>
                    <w:jc w:val="center"/>
                    <w:rPr>
                      <w:rFonts w:ascii="Times New Roman" w:hAnsi="Times New Roman" w:cs="Times New Roman"/>
                      <w:sz w:val="24"/>
                      <w:szCs w:val="24"/>
                    </w:rPr>
                  </w:pPr>
                  <w:r w:rsidRPr="00A82B01">
                    <w:rPr>
                      <w:rFonts w:ascii="Times New Roman" w:hAnsi="Times New Roman" w:cs="Times New Roman"/>
                      <w:sz w:val="24"/>
                      <w:szCs w:val="24"/>
                    </w:rPr>
                    <w:t>8</w:t>
                  </w:r>
                </w:p>
              </w:tc>
              <w:tc>
                <w:tcPr>
                  <w:tcW w:w="1985" w:type="dxa"/>
                </w:tcPr>
                <w:p w:rsidR="00A607B8" w:rsidRPr="00A82B01" w:rsidRDefault="00A607B8" w:rsidP="00A82B01">
                  <w:pPr>
                    <w:pStyle w:val="a3"/>
                    <w:spacing w:before="120"/>
                    <w:jc w:val="center"/>
                    <w:rPr>
                      <w:rFonts w:ascii="Times New Roman" w:hAnsi="Times New Roman" w:cs="Times New Roman"/>
                      <w:sz w:val="24"/>
                      <w:szCs w:val="24"/>
                    </w:rPr>
                  </w:pPr>
                </w:p>
              </w:tc>
              <w:tc>
                <w:tcPr>
                  <w:tcW w:w="2161" w:type="dxa"/>
                </w:tcPr>
                <w:p w:rsidR="00A607B8" w:rsidRPr="00A82B01" w:rsidRDefault="00A607B8" w:rsidP="00A82B01">
                  <w:pPr>
                    <w:pStyle w:val="a3"/>
                    <w:spacing w:before="120"/>
                    <w:jc w:val="center"/>
                    <w:rPr>
                      <w:rFonts w:ascii="Times New Roman" w:hAnsi="Times New Roman" w:cs="Times New Roman"/>
                      <w:sz w:val="24"/>
                      <w:szCs w:val="24"/>
                    </w:rPr>
                  </w:pPr>
                </w:p>
              </w:tc>
            </w:tr>
            <w:tr w:rsidR="00A607B8" w:rsidRPr="00A82B01" w:rsidTr="00F06838">
              <w:trPr>
                <w:jc w:val="center"/>
              </w:trPr>
              <w:tc>
                <w:tcPr>
                  <w:tcW w:w="1129" w:type="dxa"/>
                </w:tcPr>
                <w:p w:rsidR="00A607B8" w:rsidRPr="00A82B01" w:rsidRDefault="00A607B8" w:rsidP="00A82B01">
                  <w:pPr>
                    <w:pStyle w:val="a3"/>
                    <w:spacing w:before="120"/>
                    <w:jc w:val="center"/>
                    <w:rPr>
                      <w:rFonts w:ascii="Times New Roman" w:hAnsi="Times New Roman" w:cs="Times New Roman"/>
                      <w:sz w:val="24"/>
                      <w:szCs w:val="24"/>
                    </w:rPr>
                  </w:pPr>
                  <w:r w:rsidRPr="00A82B01">
                    <w:rPr>
                      <w:rFonts w:ascii="Times New Roman" w:hAnsi="Times New Roman" w:cs="Times New Roman"/>
                      <w:sz w:val="24"/>
                      <w:szCs w:val="24"/>
                    </w:rPr>
                    <w:t>2</w:t>
                  </w:r>
                </w:p>
              </w:tc>
              <w:tc>
                <w:tcPr>
                  <w:tcW w:w="1843" w:type="dxa"/>
                </w:tcPr>
                <w:p w:rsidR="00A607B8" w:rsidRPr="00A82B01" w:rsidRDefault="00A607B8" w:rsidP="00A82B01">
                  <w:pPr>
                    <w:pStyle w:val="a3"/>
                    <w:spacing w:before="120"/>
                    <w:jc w:val="center"/>
                    <w:rPr>
                      <w:rFonts w:ascii="Times New Roman" w:hAnsi="Times New Roman" w:cs="Times New Roman"/>
                      <w:sz w:val="24"/>
                      <w:szCs w:val="24"/>
                    </w:rPr>
                  </w:pPr>
                  <w:r w:rsidRPr="00A82B01">
                    <w:rPr>
                      <w:rFonts w:ascii="Times New Roman" w:hAnsi="Times New Roman" w:cs="Times New Roman"/>
                      <w:sz w:val="24"/>
                      <w:szCs w:val="24"/>
                    </w:rPr>
                    <w:t>8</w:t>
                  </w:r>
                </w:p>
              </w:tc>
              <w:tc>
                <w:tcPr>
                  <w:tcW w:w="1985" w:type="dxa"/>
                </w:tcPr>
                <w:p w:rsidR="00A607B8" w:rsidRPr="00A82B01" w:rsidRDefault="00A607B8" w:rsidP="00A82B01">
                  <w:pPr>
                    <w:pStyle w:val="a3"/>
                    <w:spacing w:before="120"/>
                    <w:jc w:val="center"/>
                    <w:rPr>
                      <w:rFonts w:ascii="Times New Roman" w:hAnsi="Times New Roman" w:cs="Times New Roman"/>
                      <w:sz w:val="24"/>
                      <w:szCs w:val="24"/>
                    </w:rPr>
                  </w:pPr>
                </w:p>
              </w:tc>
              <w:tc>
                <w:tcPr>
                  <w:tcW w:w="2161" w:type="dxa"/>
                </w:tcPr>
                <w:p w:rsidR="00A607B8" w:rsidRPr="00A82B01" w:rsidRDefault="00A607B8" w:rsidP="00A82B01">
                  <w:pPr>
                    <w:pStyle w:val="a3"/>
                    <w:spacing w:before="120"/>
                    <w:jc w:val="center"/>
                    <w:rPr>
                      <w:rFonts w:ascii="Times New Roman" w:hAnsi="Times New Roman" w:cs="Times New Roman"/>
                      <w:sz w:val="24"/>
                      <w:szCs w:val="24"/>
                    </w:rPr>
                  </w:pPr>
                </w:p>
              </w:tc>
            </w:tr>
            <w:tr w:rsidR="00A607B8" w:rsidRPr="00A82B01" w:rsidTr="00F06838">
              <w:trPr>
                <w:jc w:val="center"/>
              </w:trPr>
              <w:tc>
                <w:tcPr>
                  <w:tcW w:w="1129" w:type="dxa"/>
                </w:tcPr>
                <w:p w:rsidR="00A607B8" w:rsidRPr="00A82B01" w:rsidRDefault="00A607B8" w:rsidP="00A82B01">
                  <w:pPr>
                    <w:pStyle w:val="a3"/>
                    <w:spacing w:before="120"/>
                    <w:jc w:val="center"/>
                    <w:rPr>
                      <w:rFonts w:ascii="Times New Roman" w:hAnsi="Times New Roman" w:cs="Times New Roman"/>
                      <w:sz w:val="24"/>
                      <w:szCs w:val="24"/>
                    </w:rPr>
                  </w:pPr>
                  <w:r w:rsidRPr="00A82B01">
                    <w:rPr>
                      <w:rFonts w:ascii="Times New Roman" w:hAnsi="Times New Roman" w:cs="Times New Roman"/>
                      <w:sz w:val="24"/>
                      <w:szCs w:val="24"/>
                    </w:rPr>
                    <w:t>3</w:t>
                  </w:r>
                </w:p>
              </w:tc>
              <w:tc>
                <w:tcPr>
                  <w:tcW w:w="1843" w:type="dxa"/>
                </w:tcPr>
                <w:p w:rsidR="00A607B8" w:rsidRPr="00A82B01" w:rsidRDefault="00A607B8" w:rsidP="00A82B01">
                  <w:pPr>
                    <w:pStyle w:val="a3"/>
                    <w:spacing w:before="120"/>
                    <w:jc w:val="center"/>
                    <w:rPr>
                      <w:rFonts w:ascii="Times New Roman" w:hAnsi="Times New Roman" w:cs="Times New Roman"/>
                      <w:sz w:val="24"/>
                      <w:szCs w:val="24"/>
                    </w:rPr>
                  </w:pPr>
                  <w:r w:rsidRPr="00A82B01">
                    <w:rPr>
                      <w:rFonts w:ascii="Times New Roman" w:hAnsi="Times New Roman" w:cs="Times New Roman"/>
                      <w:sz w:val="24"/>
                      <w:szCs w:val="24"/>
                    </w:rPr>
                    <w:t>8</w:t>
                  </w:r>
                </w:p>
              </w:tc>
              <w:tc>
                <w:tcPr>
                  <w:tcW w:w="1985" w:type="dxa"/>
                </w:tcPr>
                <w:p w:rsidR="00A607B8" w:rsidRPr="00A82B01" w:rsidRDefault="00A607B8" w:rsidP="00A82B01">
                  <w:pPr>
                    <w:pStyle w:val="a3"/>
                    <w:spacing w:before="120"/>
                    <w:jc w:val="center"/>
                    <w:rPr>
                      <w:rFonts w:ascii="Times New Roman" w:hAnsi="Times New Roman" w:cs="Times New Roman"/>
                      <w:sz w:val="24"/>
                      <w:szCs w:val="24"/>
                    </w:rPr>
                  </w:pPr>
                </w:p>
              </w:tc>
              <w:tc>
                <w:tcPr>
                  <w:tcW w:w="2161" w:type="dxa"/>
                </w:tcPr>
                <w:p w:rsidR="00A607B8" w:rsidRPr="00A82B01" w:rsidRDefault="00A607B8" w:rsidP="00A82B01">
                  <w:pPr>
                    <w:pStyle w:val="a3"/>
                    <w:spacing w:before="120"/>
                    <w:jc w:val="center"/>
                    <w:rPr>
                      <w:rFonts w:ascii="Times New Roman" w:hAnsi="Times New Roman" w:cs="Times New Roman"/>
                      <w:sz w:val="24"/>
                      <w:szCs w:val="24"/>
                    </w:rPr>
                  </w:pPr>
                </w:p>
              </w:tc>
            </w:tr>
            <w:tr w:rsidR="00A607B8" w:rsidRPr="00A82B01" w:rsidTr="00F06838">
              <w:trPr>
                <w:jc w:val="center"/>
              </w:trPr>
              <w:tc>
                <w:tcPr>
                  <w:tcW w:w="1129" w:type="dxa"/>
                </w:tcPr>
                <w:p w:rsidR="00A607B8" w:rsidRPr="00A82B01" w:rsidRDefault="00A607B8" w:rsidP="00A82B01">
                  <w:pPr>
                    <w:pStyle w:val="a3"/>
                    <w:spacing w:before="120"/>
                    <w:jc w:val="center"/>
                    <w:rPr>
                      <w:rFonts w:ascii="Times New Roman" w:hAnsi="Times New Roman" w:cs="Times New Roman"/>
                      <w:sz w:val="24"/>
                      <w:szCs w:val="24"/>
                    </w:rPr>
                  </w:pPr>
                  <w:r w:rsidRPr="00A82B01">
                    <w:rPr>
                      <w:rFonts w:ascii="Times New Roman" w:hAnsi="Times New Roman" w:cs="Times New Roman"/>
                      <w:sz w:val="24"/>
                      <w:szCs w:val="24"/>
                    </w:rPr>
                    <w:t>4</w:t>
                  </w:r>
                </w:p>
              </w:tc>
              <w:tc>
                <w:tcPr>
                  <w:tcW w:w="1843" w:type="dxa"/>
                </w:tcPr>
                <w:p w:rsidR="00A607B8" w:rsidRPr="00A82B01" w:rsidRDefault="00A607B8" w:rsidP="00A82B01">
                  <w:pPr>
                    <w:pStyle w:val="a3"/>
                    <w:spacing w:before="120"/>
                    <w:jc w:val="center"/>
                    <w:rPr>
                      <w:rFonts w:ascii="Times New Roman" w:hAnsi="Times New Roman" w:cs="Times New Roman"/>
                      <w:sz w:val="24"/>
                      <w:szCs w:val="24"/>
                    </w:rPr>
                  </w:pPr>
                  <w:r w:rsidRPr="00A82B01">
                    <w:rPr>
                      <w:rFonts w:ascii="Times New Roman" w:hAnsi="Times New Roman" w:cs="Times New Roman"/>
                      <w:sz w:val="24"/>
                      <w:szCs w:val="24"/>
                    </w:rPr>
                    <w:t>8</w:t>
                  </w:r>
                </w:p>
              </w:tc>
              <w:tc>
                <w:tcPr>
                  <w:tcW w:w="1985" w:type="dxa"/>
                </w:tcPr>
                <w:p w:rsidR="00A607B8" w:rsidRPr="00A82B01" w:rsidRDefault="00A607B8" w:rsidP="00A82B01">
                  <w:pPr>
                    <w:pStyle w:val="a3"/>
                    <w:spacing w:before="120"/>
                    <w:jc w:val="center"/>
                    <w:rPr>
                      <w:rFonts w:ascii="Times New Roman" w:hAnsi="Times New Roman" w:cs="Times New Roman"/>
                      <w:sz w:val="24"/>
                      <w:szCs w:val="24"/>
                    </w:rPr>
                  </w:pPr>
                </w:p>
              </w:tc>
              <w:tc>
                <w:tcPr>
                  <w:tcW w:w="2161" w:type="dxa"/>
                </w:tcPr>
                <w:p w:rsidR="00A607B8" w:rsidRPr="00A82B01" w:rsidRDefault="00A607B8" w:rsidP="00A82B01">
                  <w:pPr>
                    <w:pStyle w:val="a3"/>
                    <w:spacing w:before="120"/>
                    <w:jc w:val="center"/>
                    <w:rPr>
                      <w:rFonts w:ascii="Times New Roman" w:hAnsi="Times New Roman" w:cs="Times New Roman"/>
                      <w:sz w:val="24"/>
                      <w:szCs w:val="24"/>
                    </w:rPr>
                  </w:pPr>
                </w:p>
              </w:tc>
            </w:tr>
          </w:tbl>
          <w:p w:rsidR="00092812" w:rsidRPr="00A82B01" w:rsidRDefault="00092812" w:rsidP="00A82B01">
            <w:pPr>
              <w:pStyle w:val="a3"/>
              <w:spacing w:before="120"/>
              <w:jc w:val="both"/>
              <w:rPr>
                <w:rFonts w:ascii="Times New Roman" w:hAnsi="Times New Roman" w:cs="Times New Roman"/>
                <w:sz w:val="24"/>
                <w:szCs w:val="24"/>
                <w:lang w:val="en-US"/>
              </w:rPr>
            </w:pPr>
          </w:p>
        </w:tc>
      </w:tr>
      <w:tr w:rsidR="00092812" w:rsidRPr="00A82B01" w:rsidTr="00F06838">
        <w:tc>
          <w:tcPr>
            <w:tcW w:w="9889" w:type="dxa"/>
            <w:gridSpan w:val="2"/>
          </w:tcPr>
          <w:p w:rsidR="00092812" w:rsidRPr="00A82B01" w:rsidRDefault="00092812" w:rsidP="00A82B01">
            <w:pPr>
              <w:autoSpaceDE/>
              <w:autoSpaceDN/>
              <w:spacing w:before="120"/>
              <w:jc w:val="center"/>
              <w:rPr>
                <w:b/>
                <w:lang w:val="en-US"/>
              </w:rPr>
            </w:pPr>
            <w:r w:rsidRPr="00A82B01">
              <w:rPr>
                <w:b/>
                <w:lang w:val="en-US"/>
              </w:rPr>
              <w:t>Di</w:t>
            </w:r>
            <w:r w:rsidR="00C7255C" w:rsidRPr="00A82B01">
              <w:rPr>
                <w:b/>
                <w:lang w:val="en-US"/>
              </w:rPr>
              <w:t>sclosure of insider information</w:t>
            </w:r>
            <w:r w:rsidR="00910E92" w:rsidRPr="00A82B01">
              <w:rPr>
                <w:b/>
                <w:lang w:val="en-US"/>
              </w:rPr>
              <w:t xml:space="preserve"> o</w:t>
            </w:r>
            <w:r w:rsidRPr="00A82B01">
              <w:rPr>
                <w:b/>
                <w:lang w:val="en-US"/>
              </w:rPr>
              <w:t>n item No.1 “</w:t>
            </w:r>
            <w:r w:rsidR="00A82B01" w:rsidRPr="00A82B01">
              <w:rPr>
                <w:b/>
                <w:color w:val="000000"/>
                <w:lang w:val="en-US"/>
              </w:rPr>
              <w:t>On “Kubanenergo” JSC becoming a member of Non-profit partnership of territorial grid companies</w:t>
            </w:r>
            <w:r w:rsidRPr="00A82B01">
              <w:rPr>
                <w:b/>
                <w:lang w:val="en-US"/>
              </w:rPr>
              <w:t>”</w:t>
            </w:r>
          </w:p>
        </w:tc>
      </w:tr>
      <w:tr w:rsidR="00092812" w:rsidRPr="00A82B01" w:rsidTr="00F06838">
        <w:tc>
          <w:tcPr>
            <w:tcW w:w="9889" w:type="dxa"/>
            <w:gridSpan w:val="2"/>
          </w:tcPr>
          <w:p w:rsidR="00092812" w:rsidRPr="00A82B01" w:rsidRDefault="00092812" w:rsidP="00A82B01">
            <w:pPr>
              <w:pStyle w:val="a3"/>
              <w:spacing w:before="120"/>
              <w:jc w:val="both"/>
              <w:rPr>
                <w:rFonts w:ascii="Times New Roman" w:hAnsi="Times New Roman" w:cs="Times New Roman"/>
                <w:sz w:val="24"/>
                <w:szCs w:val="24"/>
                <w:lang w:val="en-US"/>
              </w:rPr>
            </w:pPr>
            <w:r w:rsidRPr="00A82B01">
              <w:rPr>
                <w:rFonts w:ascii="Times New Roman" w:hAnsi="Times New Roman" w:cs="Times New Roman"/>
                <w:sz w:val="24"/>
                <w:szCs w:val="24"/>
                <w:lang w:val="en-US"/>
              </w:rPr>
              <w:t xml:space="preserve">2.2.1. </w:t>
            </w:r>
            <w:r w:rsidR="00CE0DEE" w:rsidRPr="00A82B01">
              <w:rPr>
                <w:rFonts w:ascii="Times New Roman" w:hAnsi="Times New Roman" w:cs="Times New Roman"/>
                <w:sz w:val="24"/>
                <w:szCs w:val="24"/>
                <w:lang w:val="en-US"/>
              </w:rPr>
              <w:t xml:space="preserve"> D</w:t>
            </w:r>
            <w:r w:rsidRPr="00A82B01">
              <w:rPr>
                <w:rFonts w:ascii="Times New Roman" w:hAnsi="Times New Roman" w:cs="Times New Roman"/>
                <w:sz w:val="24"/>
                <w:szCs w:val="24"/>
                <w:lang w:val="en-US"/>
              </w:rPr>
              <w:t>ecision adopted by issuer’s Board of Directors:</w:t>
            </w:r>
          </w:p>
          <w:p w:rsidR="00A82B01" w:rsidRPr="00A82B01" w:rsidRDefault="00A82B01" w:rsidP="00A82B01">
            <w:pPr>
              <w:numPr>
                <w:ilvl w:val="0"/>
                <w:numId w:val="16"/>
              </w:numPr>
              <w:tabs>
                <w:tab w:val="left" w:pos="358"/>
              </w:tabs>
              <w:spacing w:before="120"/>
              <w:ind w:left="0" w:right="120" w:hanging="28"/>
              <w:jc w:val="both"/>
              <w:rPr>
                <w:lang w:val="en-US"/>
              </w:rPr>
            </w:pPr>
            <w:r w:rsidRPr="00A82B01">
              <w:rPr>
                <w:lang w:val="en-US"/>
              </w:rPr>
              <w:t xml:space="preserve">To approve participation of </w:t>
            </w:r>
            <w:proofErr w:type="spellStart"/>
            <w:r w:rsidRPr="00A82B01">
              <w:rPr>
                <w:lang w:val="en-US"/>
              </w:rPr>
              <w:t>Kubanenrgo</w:t>
            </w:r>
            <w:proofErr w:type="spellEnd"/>
            <w:r w:rsidRPr="00A82B01">
              <w:rPr>
                <w:lang w:val="en-US"/>
              </w:rPr>
              <w:t xml:space="preserve"> in Non-profit partnership of Territorial grid organizations on the following conditions:</w:t>
            </w:r>
          </w:p>
          <w:p w:rsidR="00A82B01" w:rsidRPr="00A82B01" w:rsidRDefault="00A82B01" w:rsidP="00A82B01">
            <w:pPr>
              <w:numPr>
                <w:ilvl w:val="0"/>
                <w:numId w:val="17"/>
              </w:numPr>
              <w:ind w:left="714" w:right="120" w:hanging="357"/>
              <w:jc w:val="both"/>
              <w:rPr>
                <w:lang w:val="en-US"/>
              </w:rPr>
            </w:pPr>
            <w:r w:rsidRPr="00A82B01">
              <w:rPr>
                <w:lang w:val="en-US"/>
              </w:rPr>
              <w:t>Entrance fee – 300 000 (three hundred thousand) rubles;</w:t>
            </w:r>
          </w:p>
          <w:p w:rsidR="00A82B01" w:rsidRPr="00A82B01" w:rsidRDefault="00A82B01" w:rsidP="00A82B01">
            <w:pPr>
              <w:numPr>
                <w:ilvl w:val="0"/>
                <w:numId w:val="17"/>
              </w:numPr>
              <w:ind w:left="714" w:right="120" w:hanging="357"/>
              <w:jc w:val="both"/>
              <w:rPr>
                <w:lang w:val="en-US"/>
              </w:rPr>
            </w:pPr>
            <w:r w:rsidRPr="00A82B01">
              <w:rPr>
                <w:lang w:val="en-US"/>
              </w:rPr>
              <w:t>Regular fees – 100 000 (one hundred thousand) rubles per quarter;</w:t>
            </w:r>
          </w:p>
          <w:p w:rsidR="00A82B01" w:rsidRPr="00A82B01" w:rsidRDefault="00A82B01" w:rsidP="00A82B01">
            <w:pPr>
              <w:numPr>
                <w:ilvl w:val="0"/>
                <w:numId w:val="17"/>
              </w:numPr>
              <w:ind w:left="714" w:right="120" w:hanging="357"/>
              <w:jc w:val="both"/>
              <w:rPr>
                <w:lang w:val="en-US"/>
              </w:rPr>
            </w:pPr>
            <w:r w:rsidRPr="00A82B01">
              <w:rPr>
                <w:lang w:val="en-US"/>
              </w:rPr>
              <w:t>Form of payment of entrance and regular fee – monetary assets;</w:t>
            </w:r>
          </w:p>
          <w:p w:rsidR="00A82B01" w:rsidRPr="00A82B01" w:rsidRDefault="00A82B01" w:rsidP="00A82B01">
            <w:pPr>
              <w:numPr>
                <w:ilvl w:val="0"/>
                <w:numId w:val="17"/>
              </w:numPr>
              <w:ind w:left="714" w:right="120" w:hanging="357"/>
              <w:jc w:val="both"/>
              <w:rPr>
                <w:lang w:val="en-US"/>
              </w:rPr>
            </w:pPr>
            <w:r w:rsidRPr="00A82B01">
              <w:rPr>
                <w:lang w:val="en-US"/>
              </w:rPr>
              <w:t>Procedure and terms of payment of entrance fee – within 10 (ten) calendar days upon the receiving the written notification on acceptance to the Non-profit partnership;</w:t>
            </w:r>
          </w:p>
          <w:p w:rsidR="00A82B01" w:rsidRPr="00A82B01" w:rsidRDefault="00A82B01" w:rsidP="00A82B01">
            <w:pPr>
              <w:numPr>
                <w:ilvl w:val="0"/>
                <w:numId w:val="17"/>
              </w:numPr>
              <w:ind w:left="714" w:right="120" w:hanging="357"/>
              <w:jc w:val="both"/>
              <w:rPr>
                <w:lang w:val="en-US"/>
              </w:rPr>
            </w:pPr>
            <w:r w:rsidRPr="00A82B01">
              <w:rPr>
                <w:lang w:val="en-US"/>
              </w:rPr>
              <w:t>Procedure and terms of payment of regular fee – quarterly by 20</w:t>
            </w:r>
            <w:r w:rsidRPr="00A82B01">
              <w:rPr>
                <w:vertAlign w:val="superscript"/>
                <w:lang w:val="en-US"/>
              </w:rPr>
              <w:t>th</w:t>
            </w:r>
            <w:r w:rsidRPr="00A82B01">
              <w:rPr>
                <w:lang w:val="en-US"/>
              </w:rPr>
              <w:t xml:space="preserve"> </w:t>
            </w:r>
            <w:r w:rsidRPr="00A82B01">
              <w:rPr>
                <w:lang w:val="en-US"/>
              </w:rPr>
              <w:t xml:space="preserve"> day of the first month of the quarter, for the regular fee is paid;</w:t>
            </w:r>
          </w:p>
          <w:p w:rsidR="00A82B01" w:rsidRPr="00A82B01" w:rsidRDefault="00A82B01" w:rsidP="00A82B01">
            <w:pPr>
              <w:numPr>
                <w:ilvl w:val="0"/>
                <w:numId w:val="17"/>
              </w:numPr>
              <w:ind w:left="714" w:right="120" w:hanging="357"/>
              <w:jc w:val="both"/>
              <w:rPr>
                <w:lang w:val="en-US"/>
              </w:rPr>
            </w:pPr>
            <w:r w:rsidRPr="00A82B01">
              <w:rPr>
                <w:lang w:val="en-US"/>
              </w:rPr>
              <w:t>Amount and procedure of payment of regular fees will be determined in future by the general meeting of members of the Non-profit partnership;</w:t>
            </w:r>
          </w:p>
          <w:p w:rsidR="00244BB8" w:rsidRPr="00A82B01" w:rsidRDefault="00A82B01" w:rsidP="00A82B01">
            <w:pPr>
              <w:pStyle w:val="a7"/>
              <w:numPr>
                <w:ilvl w:val="0"/>
                <w:numId w:val="16"/>
              </w:numPr>
              <w:tabs>
                <w:tab w:val="left" w:pos="204"/>
              </w:tabs>
              <w:ind w:left="0" w:firstLine="0"/>
              <w:jc w:val="both"/>
              <w:rPr>
                <w:lang w:val="en-US"/>
              </w:rPr>
            </w:pPr>
            <w:r w:rsidRPr="00A82B01">
              <w:rPr>
                <w:lang w:val="en-US"/>
              </w:rPr>
              <w:t xml:space="preserve">To instruct director general of the Company to </w:t>
            </w:r>
            <w:r w:rsidRPr="00A82B01">
              <w:rPr>
                <w:lang w:val="en-US"/>
              </w:rPr>
              <w:t xml:space="preserve">make allowance for financing and to </w:t>
            </w:r>
            <w:r w:rsidRPr="00A82B01">
              <w:rPr>
                <w:lang w:val="en-US"/>
              </w:rPr>
              <w:t>ensure the timely payment for Company’s participation in the Non-profit partnership of Territorial grid organizations</w:t>
            </w:r>
          </w:p>
        </w:tc>
      </w:tr>
      <w:tr w:rsidR="00CE0DEE" w:rsidRPr="00A82B01" w:rsidTr="00F06838">
        <w:tc>
          <w:tcPr>
            <w:tcW w:w="9889" w:type="dxa"/>
            <w:gridSpan w:val="2"/>
          </w:tcPr>
          <w:p w:rsidR="00CE0DEE" w:rsidRPr="00A82B01" w:rsidRDefault="00CE0DEE" w:rsidP="00A82B01">
            <w:pPr>
              <w:pStyle w:val="a3"/>
              <w:spacing w:before="120"/>
              <w:jc w:val="center"/>
              <w:rPr>
                <w:rFonts w:ascii="Times New Roman" w:hAnsi="Times New Roman" w:cs="Times New Roman"/>
                <w:sz w:val="24"/>
                <w:szCs w:val="24"/>
                <w:lang w:val="en-US"/>
              </w:rPr>
            </w:pPr>
            <w:r w:rsidRPr="00A82B01">
              <w:rPr>
                <w:rFonts w:ascii="Times New Roman" w:hAnsi="Times New Roman" w:cs="Times New Roman"/>
                <w:b/>
                <w:sz w:val="24"/>
                <w:szCs w:val="24"/>
                <w:lang w:val="en-US"/>
              </w:rPr>
              <w:lastRenderedPageBreak/>
              <w:t>Disclosure of insider information on item No. 2 “</w:t>
            </w:r>
            <w:r w:rsidR="00A82B01" w:rsidRPr="00A82B01">
              <w:rPr>
                <w:rFonts w:ascii="Times New Roman" w:hAnsi="Times New Roman" w:cs="Times New Roman"/>
                <w:b/>
                <w:color w:val="000000"/>
                <w:sz w:val="24"/>
                <w:szCs w:val="24"/>
                <w:lang w:val="en-US"/>
              </w:rPr>
              <w:t>On approving internal document of the Company: Standard on transaction</w:t>
            </w:r>
            <w:r w:rsidR="00A82B01" w:rsidRPr="00A82B01">
              <w:rPr>
                <w:rFonts w:ascii="Times New Roman" w:hAnsi="Times New Roman" w:cs="Times New Roman"/>
                <w:b/>
                <w:color w:val="000000"/>
                <w:sz w:val="24"/>
                <w:szCs w:val="24"/>
                <w:lang w:val="en-US"/>
              </w:rPr>
              <w:t>s</w:t>
            </w:r>
            <w:r w:rsidR="00A82B01" w:rsidRPr="00A82B01">
              <w:rPr>
                <w:rFonts w:ascii="Times New Roman" w:hAnsi="Times New Roman" w:cs="Times New Roman"/>
                <w:b/>
                <w:color w:val="000000"/>
                <w:sz w:val="24"/>
                <w:szCs w:val="24"/>
                <w:lang w:val="en-US"/>
              </w:rPr>
              <w:t xml:space="preserve"> of “Kubanenergo” JSC with bills of third parties</w:t>
            </w:r>
            <w:r w:rsidRPr="00A82B01">
              <w:rPr>
                <w:rFonts w:ascii="Times New Roman" w:hAnsi="Times New Roman" w:cs="Times New Roman"/>
                <w:b/>
                <w:sz w:val="24"/>
                <w:szCs w:val="24"/>
                <w:lang w:val="en-US"/>
              </w:rPr>
              <w:t>”</w:t>
            </w:r>
          </w:p>
        </w:tc>
      </w:tr>
      <w:tr w:rsidR="00CE0DEE" w:rsidRPr="00A82B01" w:rsidTr="00F06838">
        <w:tc>
          <w:tcPr>
            <w:tcW w:w="9889" w:type="dxa"/>
            <w:gridSpan w:val="2"/>
          </w:tcPr>
          <w:p w:rsidR="00C23519" w:rsidRPr="00A82B01" w:rsidRDefault="00C23519" w:rsidP="00A82B01">
            <w:pPr>
              <w:pStyle w:val="a3"/>
              <w:spacing w:before="120"/>
              <w:rPr>
                <w:rFonts w:ascii="Times New Roman" w:hAnsi="Times New Roman" w:cs="Times New Roman"/>
                <w:sz w:val="24"/>
                <w:szCs w:val="24"/>
                <w:lang w:val="en-US"/>
              </w:rPr>
            </w:pPr>
            <w:r w:rsidRPr="00A82B01">
              <w:rPr>
                <w:rFonts w:ascii="Times New Roman" w:hAnsi="Times New Roman" w:cs="Times New Roman"/>
                <w:sz w:val="24"/>
                <w:szCs w:val="24"/>
                <w:lang w:val="en-US"/>
              </w:rPr>
              <w:t>2.2.2. Decision adopted by issuer’s Board of Directors:</w:t>
            </w:r>
          </w:p>
          <w:p w:rsidR="00CA2763" w:rsidRPr="00A82B01" w:rsidRDefault="00A82B01" w:rsidP="00A82B01">
            <w:pPr>
              <w:pStyle w:val="a3"/>
              <w:spacing w:before="120"/>
              <w:rPr>
                <w:rFonts w:ascii="Times New Roman" w:hAnsi="Times New Roman" w:cs="Times New Roman"/>
                <w:sz w:val="24"/>
                <w:szCs w:val="24"/>
                <w:lang w:val="en-US"/>
              </w:rPr>
            </w:pPr>
            <w:r w:rsidRPr="00A82B01">
              <w:rPr>
                <w:rFonts w:ascii="Times New Roman" w:hAnsi="Times New Roman" w:cs="Times New Roman"/>
                <w:color w:val="000000"/>
                <w:sz w:val="24"/>
                <w:szCs w:val="24"/>
                <w:lang w:val="en-US"/>
              </w:rPr>
              <w:t>To</w:t>
            </w:r>
            <w:r w:rsidRPr="00A82B01">
              <w:rPr>
                <w:rFonts w:ascii="Times New Roman" w:hAnsi="Times New Roman" w:cs="Times New Roman"/>
                <w:color w:val="000000"/>
                <w:sz w:val="24"/>
                <w:szCs w:val="24"/>
                <w:lang w:val="en-US"/>
              </w:rPr>
              <w:t xml:space="preserve"> approv</w:t>
            </w:r>
            <w:r w:rsidRPr="00A82B01">
              <w:rPr>
                <w:rFonts w:ascii="Times New Roman" w:hAnsi="Times New Roman" w:cs="Times New Roman"/>
                <w:color w:val="000000"/>
                <w:sz w:val="24"/>
                <w:szCs w:val="24"/>
                <w:lang w:val="en-US"/>
              </w:rPr>
              <w:t xml:space="preserve">e </w:t>
            </w:r>
            <w:r w:rsidRPr="00A82B01">
              <w:rPr>
                <w:rFonts w:ascii="Times New Roman" w:hAnsi="Times New Roman" w:cs="Times New Roman"/>
                <w:color w:val="000000"/>
                <w:sz w:val="24"/>
                <w:szCs w:val="24"/>
                <w:lang w:val="en-US"/>
              </w:rPr>
              <w:t>Standard on transaction</w:t>
            </w:r>
            <w:r w:rsidRPr="00A82B01">
              <w:rPr>
                <w:rFonts w:ascii="Times New Roman" w:hAnsi="Times New Roman" w:cs="Times New Roman"/>
                <w:color w:val="000000"/>
                <w:sz w:val="24"/>
                <w:szCs w:val="24"/>
                <w:lang w:val="en-US"/>
              </w:rPr>
              <w:t>s</w:t>
            </w:r>
            <w:r w:rsidRPr="00A82B01">
              <w:rPr>
                <w:rFonts w:ascii="Times New Roman" w:hAnsi="Times New Roman" w:cs="Times New Roman"/>
                <w:color w:val="000000"/>
                <w:sz w:val="24"/>
                <w:szCs w:val="24"/>
                <w:lang w:val="en-US"/>
              </w:rPr>
              <w:t xml:space="preserve"> of “Kubanenergo” JSC with bills of third parties</w:t>
            </w:r>
            <w:r w:rsidRPr="00A82B01">
              <w:rPr>
                <w:rFonts w:ascii="Times New Roman" w:hAnsi="Times New Roman" w:cs="Times New Roman"/>
                <w:color w:val="000000"/>
                <w:sz w:val="24"/>
                <w:szCs w:val="24"/>
                <w:lang w:val="en-US"/>
              </w:rPr>
              <w:t xml:space="preserve">, </w:t>
            </w:r>
            <w:r w:rsidRPr="00A82B01">
              <w:rPr>
                <w:rFonts w:ascii="Times New Roman" w:hAnsi="Times New Roman" w:cs="Times New Roman"/>
                <w:sz w:val="24"/>
                <w:szCs w:val="24"/>
                <w:lang w:val="en-US"/>
              </w:rPr>
              <w:t xml:space="preserve">in accordance with Annex </w:t>
            </w:r>
            <w:r w:rsidRPr="00A82B01">
              <w:rPr>
                <w:rFonts w:ascii="Times New Roman" w:hAnsi="Times New Roman" w:cs="Times New Roman"/>
                <w:sz w:val="24"/>
                <w:szCs w:val="24"/>
                <w:lang w:val="en-US"/>
              </w:rPr>
              <w:t>1</w:t>
            </w:r>
            <w:r w:rsidRPr="00A82B01">
              <w:rPr>
                <w:rFonts w:ascii="Times New Roman" w:hAnsi="Times New Roman" w:cs="Times New Roman"/>
                <w:sz w:val="24"/>
                <w:szCs w:val="24"/>
                <w:lang w:val="en-US"/>
              </w:rPr>
              <w:t xml:space="preserve"> to present decision of Company’s BoD.</w:t>
            </w:r>
          </w:p>
        </w:tc>
      </w:tr>
      <w:tr w:rsidR="00CE0DEE" w:rsidRPr="00A82B01" w:rsidTr="00F06838">
        <w:tc>
          <w:tcPr>
            <w:tcW w:w="9889" w:type="dxa"/>
            <w:gridSpan w:val="2"/>
          </w:tcPr>
          <w:p w:rsidR="00CE0DEE" w:rsidRPr="00A82B01" w:rsidRDefault="00CE0DEE" w:rsidP="00A82B01">
            <w:pPr>
              <w:pStyle w:val="a3"/>
              <w:spacing w:before="120"/>
              <w:jc w:val="center"/>
              <w:rPr>
                <w:rFonts w:ascii="Times New Roman" w:hAnsi="Times New Roman" w:cs="Times New Roman"/>
                <w:sz w:val="24"/>
                <w:szCs w:val="24"/>
                <w:lang w:val="en-US"/>
              </w:rPr>
            </w:pPr>
            <w:r w:rsidRPr="00A82B01">
              <w:rPr>
                <w:rFonts w:ascii="Times New Roman" w:hAnsi="Times New Roman" w:cs="Times New Roman"/>
                <w:b/>
                <w:sz w:val="24"/>
                <w:szCs w:val="24"/>
                <w:lang w:val="en-US"/>
              </w:rPr>
              <w:t>Disclosure of insider information on item No. 3 “</w:t>
            </w:r>
            <w:r w:rsidR="00A82B01" w:rsidRPr="00A82B01">
              <w:rPr>
                <w:rFonts w:ascii="Times New Roman" w:hAnsi="Times New Roman" w:cs="Times New Roman"/>
                <w:b/>
                <w:color w:val="000000"/>
                <w:sz w:val="24"/>
                <w:szCs w:val="24"/>
                <w:lang w:val="en-US"/>
              </w:rPr>
              <w:t>On taking into consideration the expanded list of risks of business-plan non-fulfillment of the Company</w:t>
            </w:r>
            <w:r w:rsidRPr="00A82B01">
              <w:rPr>
                <w:rFonts w:ascii="Times New Roman" w:hAnsi="Times New Roman" w:cs="Times New Roman"/>
                <w:b/>
                <w:sz w:val="24"/>
                <w:szCs w:val="24"/>
                <w:lang w:val="en-US"/>
              </w:rPr>
              <w:t>”</w:t>
            </w:r>
          </w:p>
        </w:tc>
      </w:tr>
      <w:tr w:rsidR="00CE0DEE" w:rsidRPr="00A82B01" w:rsidTr="00F06838">
        <w:tc>
          <w:tcPr>
            <w:tcW w:w="9889" w:type="dxa"/>
            <w:gridSpan w:val="2"/>
          </w:tcPr>
          <w:p w:rsidR="00CE0DEE" w:rsidRPr="00A82B01" w:rsidRDefault="00CE0DEE" w:rsidP="00A82B01">
            <w:pPr>
              <w:pStyle w:val="a3"/>
              <w:spacing w:before="120"/>
              <w:rPr>
                <w:rFonts w:ascii="Times New Roman" w:hAnsi="Times New Roman" w:cs="Times New Roman"/>
                <w:sz w:val="24"/>
                <w:szCs w:val="24"/>
                <w:lang w:val="en-US"/>
              </w:rPr>
            </w:pPr>
            <w:r w:rsidRPr="00A82B01">
              <w:rPr>
                <w:rFonts w:ascii="Times New Roman" w:hAnsi="Times New Roman" w:cs="Times New Roman"/>
                <w:sz w:val="24"/>
                <w:szCs w:val="24"/>
                <w:lang w:val="en-US"/>
              </w:rPr>
              <w:t>2.2.3. Decision adopted by issuer’s Board of Directors:</w:t>
            </w:r>
          </w:p>
          <w:p w:rsidR="00153B5E" w:rsidRPr="00A82B01" w:rsidRDefault="00A82B01" w:rsidP="00A82B01">
            <w:pPr>
              <w:pStyle w:val="a3"/>
              <w:spacing w:before="120"/>
              <w:jc w:val="both"/>
              <w:rPr>
                <w:rFonts w:ascii="Times New Roman" w:hAnsi="Times New Roman" w:cs="Times New Roman"/>
                <w:b/>
                <w:sz w:val="24"/>
                <w:szCs w:val="24"/>
                <w:lang w:val="en-US"/>
              </w:rPr>
            </w:pPr>
            <w:r w:rsidRPr="00A82B01">
              <w:rPr>
                <w:rFonts w:ascii="Times New Roman" w:hAnsi="Times New Roman" w:cs="Times New Roman"/>
                <w:sz w:val="24"/>
                <w:szCs w:val="24"/>
                <w:lang w:val="en-US"/>
              </w:rPr>
              <w:t>To defer the discussion to a later date</w:t>
            </w:r>
          </w:p>
        </w:tc>
      </w:tr>
      <w:tr w:rsidR="00CE0DEE" w:rsidRPr="00A82B01" w:rsidTr="00F06838">
        <w:tc>
          <w:tcPr>
            <w:tcW w:w="9889" w:type="dxa"/>
            <w:gridSpan w:val="2"/>
          </w:tcPr>
          <w:p w:rsidR="00CE0DEE" w:rsidRPr="00A82B01" w:rsidRDefault="00CE0DEE" w:rsidP="00A82B01">
            <w:pPr>
              <w:pStyle w:val="a3"/>
              <w:spacing w:before="120"/>
              <w:jc w:val="center"/>
              <w:rPr>
                <w:rFonts w:ascii="Times New Roman" w:hAnsi="Times New Roman" w:cs="Times New Roman"/>
                <w:sz w:val="24"/>
                <w:szCs w:val="24"/>
                <w:lang w:val="en-US"/>
              </w:rPr>
            </w:pPr>
            <w:r w:rsidRPr="00A82B01">
              <w:rPr>
                <w:rFonts w:ascii="Times New Roman" w:hAnsi="Times New Roman" w:cs="Times New Roman"/>
                <w:b/>
                <w:sz w:val="24"/>
                <w:szCs w:val="24"/>
                <w:lang w:val="en-US"/>
              </w:rPr>
              <w:t>Disclosure of insider information on item No. 4 “</w:t>
            </w:r>
            <w:r w:rsidR="00A82B01" w:rsidRPr="00A82B01">
              <w:rPr>
                <w:rFonts w:ascii="Times New Roman" w:hAnsi="Times New Roman" w:cs="Times New Roman"/>
                <w:b/>
                <w:color w:val="000000"/>
                <w:sz w:val="24"/>
                <w:szCs w:val="24"/>
                <w:lang w:val="en-US"/>
              </w:rPr>
              <w:t>On taking into consideration the report of Director General on provision of insurance in the Company for the 4</w:t>
            </w:r>
            <w:r w:rsidR="00A82B01" w:rsidRPr="00A82B01">
              <w:rPr>
                <w:rFonts w:ascii="Times New Roman" w:hAnsi="Times New Roman" w:cs="Times New Roman"/>
                <w:b/>
                <w:color w:val="000000"/>
                <w:sz w:val="24"/>
                <w:szCs w:val="24"/>
                <w:vertAlign w:val="superscript"/>
                <w:lang w:val="en-US"/>
              </w:rPr>
              <w:t>th</w:t>
            </w:r>
            <w:r w:rsidR="00A82B01" w:rsidRPr="00A82B01">
              <w:rPr>
                <w:rFonts w:ascii="Times New Roman" w:hAnsi="Times New Roman" w:cs="Times New Roman"/>
                <w:b/>
                <w:color w:val="000000"/>
                <w:sz w:val="24"/>
                <w:szCs w:val="24"/>
                <w:lang w:val="en-US"/>
              </w:rPr>
              <w:t xml:space="preserve"> quarter of 2013 and 2013</w:t>
            </w:r>
            <w:r w:rsidRPr="00A82B01">
              <w:rPr>
                <w:rFonts w:ascii="Times New Roman" w:hAnsi="Times New Roman" w:cs="Times New Roman"/>
                <w:b/>
                <w:sz w:val="24"/>
                <w:szCs w:val="24"/>
                <w:lang w:val="en-US"/>
              </w:rPr>
              <w:t>”</w:t>
            </w:r>
          </w:p>
        </w:tc>
      </w:tr>
      <w:tr w:rsidR="00CE0DEE" w:rsidRPr="00A82B01" w:rsidTr="00F06838">
        <w:tc>
          <w:tcPr>
            <w:tcW w:w="9889" w:type="dxa"/>
            <w:gridSpan w:val="2"/>
          </w:tcPr>
          <w:p w:rsidR="00153B5E" w:rsidRPr="00A82B01" w:rsidRDefault="00CE0DEE" w:rsidP="00A82B01">
            <w:pPr>
              <w:pStyle w:val="a3"/>
              <w:spacing w:before="120"/>
              <w:rPr>
                <w:rFonts w:ascii="Times New Roman" w:hAnsi="Times New Roman" w:cs="Times New Roman"/>
                <w:sz w:val="24"/>
                <w:szCs w:val="24"/>
                <w:lang w:val="en-US"/>
              </w:rPr>
            </w:pPr>
            <w:r w:rsidRPr="00A82B01">
              <w:rPr>
                <w:rFonts w:ascii="Times New Roman" w:hAnsi="Times New Roman" w:cs="Times New Roman"/>
                <w:sz w:val="24"/>
                <w:szCs w:val="24"/>
                <w:lang w:val="en-US"/>
              </w:rPr>
              <w:t>2.2.4. Decision adopted by issuer’s Board of Directors:</w:t>
            </w:r>
          </w:p>
          <w:p w:rsidR="00F06838" w:rsidRPr="00A82B01" w:rsidRDefault="00A82B01" w:rsidP="00A82B01">
            <w:pPr>
              <w:pStyle w:val="a3"/>
              <w:spacing w:before="120"/>
              <w:jc w:val="both"/>
              <w:rPr>
                <w:rFonts w:ascii="Times New Roman" w:hAnsi="Times New Roman" w:cs="Times New Roman"/>
                <w:sz w:val="24"/>
                <w:szCs w:val="24"/>
                <w:lang w:val="en-US"/>
              </w:rPr>
            </w:pPr>
            <w:r w:rsidRPr="00A82B01">
              <w:rPr>
                <w:rFonts w:ascii="Times New Roman" w:hAnsi="Times New Roman" w:cs="Times New Roman"/>
                <w:color w:val="000000"/>
                <w:sz w:val="24"/>
                <w:szCs w:val="24"/>
                <w:lang w:val="en-US"/>
              </w:rPr>
              <w:t>1. To</w:t>
            </w:r>
            <w:r w:rsidRPr="00A82B01">
              <w:rPr>
                <w:rFonts w:ascii="Times New Roman" w:hAnsi="Times New Roman" w:cs="Times New Roman"/>
                <w:color w:val="000000"/>
                <w:sz w:val="24"/>
                <w:szCs w:val="24"/>
                <w:lang w:val="en-US"/>
              </w:rPr>
              <w:t xml:space="preserve"> tak</w:t>
            </w:r>
            <w:r w:rsidRPr="00A82B01">
              <w:rPr>
                <w:rFonts w:ascii="Times New Roman" w:hAnsi="Times New Roman" w:cs="Times New Roman"/>
                <w:color w:val="000000"/>
                <w:sz w:val="24"/>
                <w:szCs w:val="24"/>
                <w:lang w:val="en-US"/>
              </w:rPr>
              <w:t>e</w:t>
            </w:r>
            <w:r w:rsidRPr="00A82B01">
              <w:rPr>
                <w:rFonts w:ascii="Times New Roman" w:hAnsi="Times New Roman" w:cs="Times New Roman"/>
                <w:color w:val="000000"/>
                <w:sz w:val="24"/>
                <w:szCs w:val="24"/>
                <w:lang w:val="en-US"/>
              </w:rPr>
              <w:t xml:space="preserve"> into consideration the report of Director General on provision of insurance in the Company for the 4</w:t>
            </w:r>
            <w:r w:rsidRPr="00A82B01">
              <w:rPr>
                <w:rFonts w:ascii="Times New Roman" w:hAnsi="Times New Roman" w:cs="Times New Roman"/>
                <w:color w:val="000000"/>
                <w:sz w:val="24"/>
                <w:szCs w:val="24"/>
                <w:vertAlign w:val="superscript"/>
                <w:lang w:val="en-US"/>
              </w:rPr>
              <w:t>th</w:t>
            </w:r>
            <w:r w:rsidRPr="00A82B01">
              <w:rPr>
                <w:rFonts w:ascii="Times New Roman" w:hAnsi="Times New Roman" w:cs="Times New Roman"/>
                <w:color w:val="000000"/>
                <w:sz w:val="24"/>
                <w:szCs w:val="24"/>
                <w:lang w:val="en-US"/>
              </w:rPr>
              <w:t xml:space="preserve"> quarter of 2013 and 2013, </w:t>
            </w:r>
            <w:r w:rsidRPr="00A82B01">
              <w:rPr>
                <w:rFonts w:ascii="Times New Roman" w:hAnsi="Times New Roman" w:cs="Times New Roman"/>
                <w:sz w:val="24"/>
                <w:szCs w:val="24"/>
                <w:lang w:val="en-US"/>
              </w:rPr>
              <w:t xml:space="preserve">in accordance with Annex </w:t>
            </w:r>
            <w:r w:rsidRPr="00A82B01">
              <w:rPr>
                <w:rFonts w:ascii="Times New Roman" w:hAnsi="Times New Roman" w:cs="Times New Roman"/>
                <w:sz w:val="24"/>
                <w:szCs w:val="24"/>
                <w:lang w:val="en-US"/>
              </w:rPr>
              <w:t>2</w:t>
            </w:r>
            <w:r w:rsidRPr="00A82B01">
              <w:rPr>
                <w:rFonts w:ascii="Times New Roman" w:hAnsi="Times New Roman" w:cs="Times New Roman"/>
                <w:sz w:val="24"/>
                <w:szCs w:val="24"/>
                <w:lang w:val="en-US"/>
              </w:rPr>
              <w:t xml:space="preserve"> to present decision of Company’s BoD.</w:t>
            </w:r>
          </w:p>
          <w:p w:rsidR="00A82B01" w:rsidRPr="00A82B01" w:rsidRDefault="00A82B01" w:rsidP="00A82B01">
            <w:pPr>
              <w:pStyle w:val="a3"/>
              <w:spacing w:before="120"/>
              <w:jc w:val="both"/>
              <w:rPr>
                <w:rFonts w:ascii="Times New Roman" w:hAnsi="Times New Roman" w:cs="Times New Roman"/>
                <w:sz w:val="24"/>
                <w:szCs w:val="24"/>
                <w:lang w:val="en-US"/>
              </w:rPr>
            </w:pPr>
            <w:r w:rsidRPr="00A82B01">
              <w:rPr>
                <w:rFonts w:ascii="Times New Roman" w:hAnsi="Times New Roman" w:cs="Times New Roman"/>
                <w:sz w:val="24"/>
                <w:szCs w:val="24"/>
                <w:lang w:val="en-US"/>
              </w:rPr>
              <w:t xml:space="preserve">2. To instruct director general of the Company to analyze the performance of contractors’ obligations on insuring risks, stipulated by the contracts on construction and assembly works, as well by the Regulations on insurance of Kubanenergo JSC in 2013-2015 approved by the BoD (minutes of meeting No.173/2013 dated 21.10.2013), as well as to submit for the next meeting of the BoD the report on </w:t>
            </w:r>
            <w:r>
              <w:rPr>
                <w:rFonts w:ascii="Times New Roman" w:hAnsi="Times New Roman" w:cs="Times New Roman"/>
                <w:sz w:val="24"/>
                <w:szCs w:val="24"/>
                <w:lang w:val="en-US"/>
              </w:rPr>
              <w:t xml:space="preserve">results of the </w:t>
            </w:r>
            <w:r w:rsidRPr="00A82B01">
              <w:rPr>
                <w:rFonts w:ascii="Times New Roman" w:hAnsi="Times New Roman" w:cs="Times New Roman"/>
                <w:sz w:val="24"/>
                <w:szCs w:val="24"/>
                <w:lang w:val="en-US"/>
              </w:rPr>
              <w:t>analysis.</w:t>
            </w:r>
          </w:p>
        </w:tc>
      </w:tr>
      <w:tr w:rsidR="00314249" w:rsidRPr="00A82B01" w:rsidTr="00F06838">
        <w:tc>
          <w:tcPr>
            <w:tcW w:w="9889" w:type="dxa"/>
            <w:gridSpan w:val="2"/>
          </w:tcPr>
          <w:p w:rsidR="00314249" w:rsidRPr="00A82B01" w:rsidRDefault="00314249" w:rsidP="00A82B01">
            <w:pPr>
              <w:pStyle w:val="a3"/>
              <w:spacing w:before="120"/>
              <w:jc w:val="both"/>
              <w:rPr>
                <w:rFonts w:ascii="Times New Roman" w:hAnsi="Times New Roman" w:cs="Times New Roman"/>
                <w:b/>
                <w:sz w:val="24"/>
                <w:szCs w:val="24"/>
                <w:lang w:val="en-US"/>
              </w:rPr>
            </w:pPr>
            <w:r w:rsidRPr="00A82B01">
              <w:rPr>
                <w:rFonts w:ascii="Times New Roman" w:hAnsi="Times New Roman" w:cs="Times New Roman"/>
                <w:sz w:val="24"/>
                <w:szCs w:val="24"/>
                <w:lang w:val="en-US"/>
              </w:rPr>
              <w:t xml:space="preserve">2.3. Date of holding the meeting of Board of Directors: </w:t>
            </w:r>
            <w:r w:rsidR="00850252" w:rsidRPr="00A82B01">
              <w:rPr>
                <w:rFonts w:ascii="Times New Roman" w:hAnsi="Times New Roman" w:cs="Times New Roman"/>
                <w:sz w:val="24"/>
                <w:szCs w:val="24"/>
                <w:lang w:val="en-US"/>
              </w:rPr>
              <w:t xml:space="preserve">February </w:t>
            </w:r>
            <w:r w:rsidR="00A82B01" w:rsidRPr="00A82B01">
              <w:rPr>
                <w:rFonts w:ascii="Times New Roman" w:hAnsi="Times New Roman" w:cs="Times New Roman"/>
                <w:sz w:val="24"/>
                <w:szCs w:val="24"/>
                <w:lang w:val="en-US"/>
              </w:rPr>
              <w:t>2</w:t>
            </w:r>
            <w:r w:rsidR="00850252" w:rsidRPr="00A82B01">
              <w:rPr>
                <w:rFonts w:ascii="Times New Roman" w:hAnsi="Times New Roman" w:cs="Times New Roman"/>
                <w:sz w:val="24"/>
                <w:szCs w:val="24"/>
                <w:lang w:val="en-US"/>
              </w:rPr>
              <w:t>7</w:t>
            </w:r>
            <w:r w:rsidRPr="00A82B01">
              <w:rPr>
                <w:rFonts w:ascii="Times New Roman" w:hAnsi="Times New Roman" w:cs="Times New Roman"/>
                <w:sz w:val="24"/>
                <w:szCs w:val="24"/>
                <w:lang w:val="en-US"/>
              </w:rPr>
              <w:t>, 201</w:t>
            </w:r>
            <w:r w:rsidR="00850252" w:rsidRPr="00A82B01">
              <w:rPr>
                <w:rFonts w:ascii="Times New Roman" w:hAnsi="Times New Roman" w:cs="Times New Roman"/>
                <w:sz w:val="24"/>
                <w:szCs w:val="24"/>
                <w:lang w:val="en-US"/>
              </w:rPr>
              <w:t>4</w:t>
            </w:r>
          </w:p>
          <w:p w:rsidR="00314249" w:rsidRPr="00A82B01" w:rsidRDefault="00314249" w:rsidP="00A82B01">
            <w:pPr>
              <w:pStyle w:val="a3"/>
              <w:spacing w:before="120"/>
              <w:jc w:val="both"/>
              <w:rPr>
                <w:rFonts w:ascii="Times New Roman" w:hAnsi="Times New Roman" w:cs="Times New Roman"/>
                <w:sz w:val="24"/>
                <w:szCs w:val="24"/>
                <w:lang w:val="en-US"/>
              </w:rPr>
            </w:pPr>
            <w:r w:rsidRPr="00A82B01">
              <w:rPr>
                <w:rFonts w:ascii="Times New Roman" w:hAnsi="Times New Roman" w:cs="Times New Roman"/>
                <w:sz w:val="24"/>
                <w:szCs w:val="24"/>
                <w:lang w:val="en-US"/>
              </w:rPr>
              <w:t xml:space="preserve">2.4. Date of making and number of minutes of meeting: </w:t>
            </w:r>
            <w:r w:rsidR="00850252" w:rsidRPr="00A82B01">
              <w:rPr>
                <w:rFonts w:ascii="Times New Roman" w:hAnsi="Times New Roman" w:cs="Times New Roman"/>
                <w:sz w:val="24"/>
                <w:szCs w:val="24"/>
                <w:lang w:val="en-US"/>
              </w:rPr>
              <w:t>February</w:t>
            </w:r>
            <w:r w:rsidRPr="00A82B01">
              <w:rPr>
                <w:rFonts w:ascii="Times New Roman" w:hAnsi="Times New Roman" w:cs="Times New Roman"/>
                <w:sz w:val="24"/>
                <w:szCs w:val="24"/>
                <w:lang w:val="en-US"/>
              </w:rPr>
              <w:t xml:space="preserve"> </w:t>
            </w:r>
            <w:r w:rsidR="00A82B01" w:rsidRPr="00A82B01">
              <w:rPr>
                <w:rFonts w:ascii="Times New Roman" w:hAnsi="Times New Roman" w:cs="Times New Roman"/>
                <w:sz w:val="24"/>
                <w:szCs w:val="24"/>
                <w:lang w:val="en-US"/>
              </w:rPr>
              <w:t>28</w:t>
            </w:r>
            <w:r w:rsidRPr="00A82B01">
              <w:rPr>
                <w:rFonts w:ascii="Times New Roman" w:hAnsi="Times New Roman" w:cs="Times New Roman"/>
                <w:sz w:val="24"/>
                <w:szCs w:val="24"/>
                <w:lang w:val="en-US"/>
              </w:rPr>
              <w:t>, 201</w:t>
            </w:r>
            <w:r w:rsidR="00850252" w:rsidRPr="00A82B01">
              <w:rPr>
                <w:rFonts w:ascii="Times New Roman" w:hAnsi="Times New Roman" w:cs="Times New Roman"/>
                <w:sz w:val="24"/>
                <w:szCs w:val="24"/>
                <w:lang w:val="en-US"/>
              </w:rPr>
              <w:t>4</w:t>
            </w:r>
            <w:r w:rsidRPr="00A82B01">
              <w:rPr>
                <w:rFonts w:ascii="Times New Roman" w:hAnsi="Times New Roman" w:cs="Times New Roman"/>
                <w:sz w:val="24"/>
                <w:szCs w:val="24"/>
                <w:lang w:val="en-US"/>
              </w:rPr>
              <w:t>, minutes of meeting No.1</w:t>
            </w:r>
            <w:r w:rsidR="00850252" w:rsidRPr="00A82B01">
              <w:rPr>
                <w:rFonts w:ascii="Times New Roman" w:hAnsi="Times New Roman" w:cs="Times New Roman"/>
                <w:sz w:val="24"/>
                <w:szCs w:val="24"/>
                <w:lang w:val="en-US"/>
              </w:rPr>
              <w:t>8</w:t>
            </w:r>
            <w:r w:rsidR="00A82B01" w:rsidRPr="00A82B01">
              <w:rPr>
                <w:rFonts w:ascii="Times New Roman" w:hAnsi="Times New Roman" w:cs="Times New Roman"/>
                <w:sz w:val="24"/>
                <w:szCs w:val="24"/>
                <w:lang w:val="en-US"/>
              </w:rPr>
              <w:t>1</w:t>
            </w:r>
            <w:r w:rsidRPr="00A82B01">
              <w:rPr>
                <w:rFonts w:ascii="Times New Roman" w:hAnsi="Times New Roman" w:cs="Times New Roman"/>
                <w:sz w:val="24"/>
                <w:szCs w:val="24"/>
                <w:lang w:val="en-US"/>
              </w:rPr>
              <w:t>/201</w:t>
            </w:r>
            <w:r w:rsidR="00850252" w:rsidRPr="00A82B01">
              <w:rPr>
                <w:rFonts w:ascii="Times New Roman" w:hAnsi="Times New Roman" w:cs="Times New Roman"/>
                <w:sz w:val="24"/>
                <w:szCs w:val="24"/>
                <w:lang w:val="en-US"/>
              </w:rPr>
              <w:t>4</w:t>
            </w:r>
            <w:r w:rsidRPr="00A82B01">
              <w:rPr>
                <w:rFonts w:ascii="Times New Roman" w:hAnsi="Times New Roman" w:cs="Times New Roman"/>
                <w:b/>
                <w:sz w:val="24"/>
                <w:szCs w:val="24"/>
                <w:lang w:val="en-US"/>
              </w:rPr>
              <w:t>.</w:t>
            </w:r>
          </w:p>
        </w:tc>
      </w:tr>
      <w:tr w:rsidR="00314249" w:rsidRPr="00A82B01" w:rsidTr="00F06838">
        <w:tc>
          <w:tcPr>
            <w:tcW w:w="9889" w:type="dxa"/>
            <w:gridSpan w:val="2"/>
          </w:tcPr>
          <w:p w:rsidR="00314249" w:rsidRPr="00A82B01" w:rsidRDefault="00314249" w:rsidP="00A82B01">
            <w:pPr>
              <w:pStyle w:val="a3"/>
              <w:spacing w:before="120"/>
              <w:ind w:left="360"/>
              <w:jc w:val="center"/>
              <w:rPr>
                <w:rFonts w:ascii="Times New Roman" w:hAnsi="Times New Roman" w:cs="Times New Roman"/>
                <w:sz w:val="24"/>
                <w:szCs w:val="24"/>
              </w:rPr>
            </w:pPr>
            <w:r w:rsidRPr="00A82B01">
              <w:rPr>
                <w:rFonts w:ascii="Times New Roman" w:hAnsi="Times New Roman" w:cs="Times New Roman"/>
                <w:sz w:val="24"/>
                <w:szCs w:val="24"/>
                <w:lang w:val="en-US"/>
              </w:rPr>
              <w:t>3. Signature</w:t>
            </w:r>
          </w:p>
        </w:tc>
      </w:tr>
    </w:tbl>
    <w:tbl>
      <w:tblPr>
        <w:tblW w:w="988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6"/>
        <w:gridCol w:w="1700"/>
        <w:gridCol w:w="141"/>
        <w:gridCol w:w="1842"/>
        <w:gridCol w:w="570"/>
      </w:tblGrid>
      <w:tr w:rsidR="00092812" w:rsidRPr="00A82B01" w:rsidTr="00F06838">
        <w:trPr>
          <w:cantSplit/>
        </w:trPr>
        <w:tc>
          <w:tcPr>
            <w:tcW w:w="5636"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092812" w:rsidRPr="00A82B01" w:rsidRDefault="00092812" w:rsidP="00A82B01">
            <w:pPr>
              <w:spacing w:before="120"/>
              <w:ind w:left="57"/>
              <w:jc w:val="both"/>
              <w:rPr>
                <w:lang w:val="en-US" w:eastAsia="en-US"/>
              </w:rPr>
            </w:pPr>
            <w:r w:rsidRPr="00A82B01">
              <w:rPr>
                <w:lang w:val="en-US" w:eastAsia="en-US"/>
              </w:rPr>
              <w:t xml:space="preserve">3.1 Deputy director general in charge of corporate management (attorney dated </w:t>
            </w:r>
            <w:r w:rsidR="00D404ED" w:rsidRPr="00A82B01">
              <w:rPr>
                <w:lang w:val="en-US" w:eastAsia="en-US"/>
              </w:rPr>
              <w:t>29.10.2013</w:t>
            </w:r>
            <w:r w:rsidRPr="00A82B01">
              <w:rPr>
                <w:lang w:val="en-US" w:eastAsia="en-US"/>
              </w:rPr>
              <w:t>)</w:t>
            </w:r>
          </w:p>
          <w:p w:rsidR="00092812" w:rsidRPr="00A82B01" w:rsidRDefault="00092812" w:rsidP="00A82B01">
            <w:pPr>
              <w:spacing w:before="120"/>
              <w:ind w:left="57"/>
              <w:rPr>
                <w:lang w:val="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092812" w:rsidRPr="00A82B01" w:rsidRDefault="00092812" w:rsidP="00A82B01">
            <w:pPr>
              <w:spacing w:before="120"/>
              <w:jc w:val="center"/>
              <w:rPr>
                <w:lang w:val="en-US"/>
              </w:rPr>
            </w:pPr>
          </w:p>
          <w:p w:rsidR="00092812" w:rsidRPr="00A82B01" w:rsidRDefault="00092812" w:rsidP="00A82B01">
            <w:pPr>
              <w:spacing w:before="120"/>
              <w:jc w:val="center"/>
              <w:rPr>
                <w:lang w:val="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092812" w:rsidRPr="00A82B01" w:rsidRDefault="00092812" w:rsidP="00A82B01">
            <w:pPr>
              <w:spacing w:before="120"/>
              <w:rPr>
                <w:lang w:val="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092812" w:rsidRPr="00A82B01" w:rsidRDefault="00092812" w:rsidP="00A82B01">
            <w:pPr>
              <w:spacing w:before="120"/>
              <w:ind w:right="-315"/>
              <w:rPr>
                <w:lang w:val="en-US"/>
              </w:rPr>
            </w:pPr>
            <w:r w:rsidRPr="00A82B01">
              <w:rPr>
                <w:lang w:val="en-US" w:eastAsia="en-US"/>
              </w:rPr>
              <w:t>Kocherga V.A.</w:t>
            </w:r>
          </w:p>
        </w:tc>
        <w:tc>
          <w:tcPr>
            <w:tcW w:w="570" w:type="dxa"/>
            <w:tcBorders>
              <w:top w:val="single" w:sz="4" w:space="0" w:color="auto"/>
              <w:left w:val="nil"/>
              <w:bottom w:val="nil"/>
              <w:right w:val="single" w:sz="4" w:space="0" w:color="auto"/>
            </w:tcBorders>
            <w:tcMar>
              <w:top w:w="0" w:type="dxa"/>
              <w:left w:w="28" w:type="dxa"/>
              <w:bottom w:w="0" w:type="dxa"/>
              <w:right w:w="28" w:type="dxa"/>
            </w:tcMar>
            <w:vAlign w:val="bottom"/>
          </w:tcPr>
          <w:p w:rsidR="00092812" w:rsidRPr="00A82B01" w:rsidRDefault="00092812" w:rsidP="00A82B01">
            <w:pPr>
              <w:spacing w:before="120"/>
              <w:rPr>
                <w:lang w:val="en-US"/>
              </w:rPr>
            </w:pPr>
          </w:p>
        </w:tc>
      </w:tr>
      <w:tr w:rsidR="00092812" w:rsidRPr="00A82B01" w:rsidTr="00F06838">
        <w:trPr>
          <w:cantSplit/>
        </w:trPr>
        <w:tc>
          <w:tcPr>
            <w:tcW w:w="0" w:type="auto"/>
            <w:vMerge/>
            <w:tcBorders>
              <w:top w:val="single" w:sz="4" w:space="0" w:color="auto"/>
              <w:left w:val="single" w:sz="4" w:space="0" w:color="auto"/>
              <w:bottom w:val="nil"/>
              <w:right w:val="nil"/>
            </w:tcBorders>
            <w:vAlign w:val="center"/>
            <w:hideMark/>
          </w:tcPr>
          <w:p w:rsidR="00092812" w:rsidRPr="00A82B01" w:rsidRDefault="00092812" w:rsidP="00A82B01">
            <w:pPr>
              <w:autoSpaceDE/>
              <w:autoSpaceDN/>
              <w:spacing w:before="120"/>
              <w:rPr>
                <w:lang w:val="en-US"/>
              </w:rPr>
            </w:pPr>
          </w:p>
        </w:tc>
        <w:tc>
          <w:tcPr>
            <w:tcW w:w="1700" w:type="dxa"/>
            <w:tcBorders>
              <w:top w:val="nil"/>
              <w:left w:val="nil"/>
              <w:bottom w:val="nil"/>
              <w:right w:val="nil"/>
            </w:tcBorders>
            <w:tcMar>
              <w:top w:w="0" w:type="dxa"/>
              <w:left w:w="28" w:type="dxa"/>
              <w:bottom w:w="0" w:type="dxa"/>
              <w:right w:w="28" w:type="dxa"/>
            </w:tcMar>
            <w:hideMark/>
          </w:tcPr>
          <w:p w:rsidR="00092812" w:rsidRPr="00A82B01" w:rsidRDefault="00092812" w:rsidP="00A82B01">
            <w:pPr>
              <w:spacing w:before="120"/>
              <w:jc w:val="center"/>
              <w:rPr>
                <w:lang w:val="en-US"/>
              </w:rPr>
            </w:pPr>
            <w:r w:rsidRPr="00A82B01">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092812" w:rsidRPr="00A82B01" w:rsidRDefault="00092812" w:rsidP="00A82B01">
            <w:pPr>
              <w:spacing w:before="120"/>
              <w:rPr>
                <w:lang w:val="en-US"/>
              </w:rPr>
            </w:pPr>
          </w:p>
        </w:tc>
        <w:tc>
          <w:tcPr>
            <w:tcW w:w="1842" w:type="dxa"/>
            <w:tcBorders>
              <w:top w:val="nil"/>
              <w:left w:val="nil"/>
              <w:bottom w:val="nil"/>
              <w:right w:val="nil"/>
            </w:tcBorders>
            <w:tcMar>
              <w:top w:w="0" w:type="dxa"/>
              <w:left w:w="28" w:type="dxa"/>
              <w:bottom w:w="0" w:type="dxa"/>
              <w:right w:w="28" w:type="dxa"/>
            </w:tcMar>
          </w:tcPr>
          <w:p w:rsidR="00092812" w:rsidRPr="00A82B01" w:rsidRDefault="00092812" w:rsidP="00A82B01">
            <w:pPr>
              <w:spacing w:before="120"/>
              <w:rPr>
                <w:lang w:val="en-US"/>
              </w:rPr>
            </w:pPr>
          </w:p>
        </w:tc>
        <w:tc>
          <w:tcPr>
            <w:tcW w:w="570" w:type="dxa"/>
            <w:tcBorders>
              <w:top w:val="nil"/>
              <w:left w:val="nil"/>
              <w:bottom w:val="nil"/>
              <w:right w:val="single" w:sz="4" w:space="0" w:color="auto"/>
            </w:tcBorders>
            <w:tcMar>
              <w:top w:w="0" w:type="dxa"/>
              <w:left w:w="28" w:type="dxa"/>
              <w:bottom w:w="0" w:type="dxa"/>
              <w:right w:w="28" w:type="dxa"/>
            </w:tcMar>
          </w:tcPr>
          <w:p w:rsidR="00092812" w:rsidRPr="00A82B01" w:rsidRDefault="00092812" w:rsidP="00A82B01">
            <w:pPr>
              <w:spacing w:before="120"/>
              <w:rPr>
                <w:lang w:val="en-US"/>
              </w:rPr>
            </w:pPr>
          </w:p>
        </w:tc>
      </w:tr>
      <w:tr w:rsidR="00092812" w:rsidRPr="00A82B01" w:rsidTr="00F06838">
        <w:trPr>
          <w:cantSplit/>
        </w:trPr>
        <w:tc>
          <w:tcPr>
            <w:tcW w:w="5636" w:type="dxa"/>
            <w:tcBorders>
              <w:top w:val="nil"/>
              <w:left w:val="single" w:sz="4" w:space="0" w:color="auto"/>
              <w:bottom w:val="nil"/>
              <w:right w:val="nil"/>
            </w:tcBorders>
            <w:tcMar>
              <w:top w:w="0" w:type="dxa"/>
              <w:left w:w="28" w:type="dxa"/>
              <w:bottom w:w="0" w:type="dxa"/>
              <w:right w:w="28" w:type="dxa"/>
            </w:tcMar>
            <w:vAlign w:val="bottom"/>
            <w:hideMark/>
          </w:tcPr>
          <w:p w:rsidR="00092812" w:rsidRPr="00A82B01" w:rsidRDefault="00092812" w:rsidP="00A82B01">
            <w:pPr>
              <w:spacing w:before="120"/>
              <w:rPr>
                <w:lang w:val="en-US" w:eastAsia="en-US"/>
              </w:rPr>
            </w:pPr>
            <w:r w:rsidRPr="00A82B01">
              <w:rPr>
                <w:lang w:val="en-US" w:eastAsia="en-US"/>
              </w:rPr>
              <w:t xml:space="preserve">3.2 Date: </w:t>
            </w:r>
            <w:r w:rsidR="00A82B01" w:rsidRPr="00A82B01">
              <w:rPr>
                <w:lang w:val="en-US"/>
              </w:rPr>
              <w:t>March</w:t>
            </w:r>
            <w:r w:rsidR="00CE0DEE" w:rsidRPr="00A82B01">
              <w:rPr>
                <w:lang w:val="en-US"/>
              </w:rPr>
              <w:t xml:space="preserve"> </w:t>
            </w:r>
            <w:r w:rsidR="00A82B01" w:rsidRPr="00A82B01">
              <w:rPr>
                <w:lang w:val="en-US"/>
              </w:rPr>
              <w:t>3</w:t>
            </w:r>
            <w:r w:rsidR="00850252" w:rsidRPr="00A82B01">
              <w:rPr>
                <w:lang w:val="en-US"/>
              </w:rPr>
              <w:t>, 2014</w:t>
            </w:r>
          </w:p>
        </w:tc>
        <w:tc>
          <w:tcPr>
            <w:tcW w:w="1700" w:type="dxa"/>
            <w:tcBorders>
              <w:top w:val="nil"/>
              <w:left w:val="nil"/>
              <w:bottom w:val="nil"/>
              <w:right w:val="nil"/>
            </w:tcBorders>
            <w:tcMar>
              <w:top w:w="0" w:type="dxa"/>
              <w:left w:w="28" w:type="dxa"/>
              <w:bottom w:w="0" w:type="dxa"/>
              <w:right w:w="28" w:type="dxa"/>
            </w:tcMar>
            <w:vAlign w:val="bottom"/>
          </w:tcPr>
          <w:p w:rsidR="00092812" w:rsidRPr="00A82B01" w:rsidRDefault="00092812" w:rsidP="00A82B01">
            <w:pPr>
              <w:spacing w:before="120"/>
              <w:jc w:val="center"/>
              <w:rPr>
                <w:lang w:val="en-US"/>
              </w:rPr>
            </w:pPr>
          </w:p>
        </w:tc>
        <w:tc>
          <w:tcPr>
            <w:tcW w:w="2553" w:type="dxa"/>
            <w:gridSpan w:val="3"/>
            <w:tcBorders>
              <w:top w:val="nil"/>
              <w:left w:val="nil"/>
              <w:bottom w:val="nil"/>
              <w:right w:val="single" w:sz="4" w:space="0" w:color="auto"/>
            </w:tcBorders>
            <w:tcMar>
              <w:top w:w="0" w:type="dxa"/>
              <w:left w:w="28" w:type="dxa"/>
              <w:bottom w:w="0" w:type="dxa"/>
              <w:right w:w="28" w:type="dxa"/>
            </w:tcMar>
            <w:vAlign w:val="bottom"/>
          </w:tcPr>
          <w:p w:rsidR="00092812" w:rsidRPr="00A82B01" w:rsidRDefault="00092812" w:rsidP="00A82B01">
            <w:pPr>
              <w:spacing w:before="120"/>
            </w:pPr>
          </w:p>
        </w:tc>
      </w:tr>
      <w:tr w:rsidR="00092812" w:rsidRPr="00A82B01" w:rsidTr="00F06838">
        <w:trPr>
          <w:cantSplit/>
        </w:trPr>
        <w:tc>
          <w:tcPr>
            <w:tcW w:w="5636" w:type="dxa"/>
            <w:tcBorders>
              <w:top w:val="nil"/>
              <w:left w:val="single" w:sz="4" w:space="0" w:color="auto"/>
              <w:bottom w:val="single" w:sz="4" w:space="0" w:color="auto"/>
              <w:right w:val="nil"/>
            </w:tcBorders>
            <w:tcMar>
              <w:top w:w="0" w:type="dxa"/>
              <w:left w:w="28" w:type="dxa"/>
              <w:bottom w:w="0" w:type="dxa"/>
              <w:right w:w="28" w:type="dxa"/>
            </w:tcMar>
          </w:tcPr>
          <w:p w:rsidR="00092812" w:rsidRPr="00A82B01" w:rsidRDefault="00092812" w:rsidP="00A82B01">
            <w:pPr>
              <w:spacing w:before="120"/>
              <w:ind w:left="57"/>
              <w:rPr>
                <w:lang w:val="en-US"/>
              </w:rPr>
            </w:pPr>
          </w:p>
          <w:p w:rsidR="00092812" w:rsidRPr="00A82B01" w:rsidRDefault="00092812" w:rsidP="00A82B01">
            <w:pPr>
              <w:spacing w:before="120"/>
              <w:ind w:left="57"/>
              <w:rPr>
                <w:lang w:val="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092812" w:rsidRPr="00A82B01" w:rsidRDefault="00910E92" w:rsidP="00A82B01">
            <w:pPr>
              <w:spacing w:before="120"/>
              <w:jc w:val="center"/>
            </w:pPr>
            <w:r w:rsidRPr="00A82B01">
              <w:rPr>
                <w:lang w:val="en-US"/>
              </w:rPr>
              <w:t>place of seal</w:t>
            </w:r>
            <w:r w:rsidR="00092812" w:rsidRPr="00A82B01">
              <w:rPr>
                <w:lang w:val="en-US"/>
              </w:rPr>
              <w:t xml:space="preserve"> </w:t>
            </w:r>
          </w:p>
        </w:tc>
        <w:tc>
          <w:tcPr>
            <w:tcW w:w="2553" w:type="dxa"/>
            <w:gridSpan w:val="3"/>
            <w:tcBorders>
              <w:top w:val="nil"/>
              <w:left w:val="nil"/>
              <w:bottom w:val="single" w:sz="4" w:space="0" w:color="auto"/>
              <w:right w:val="single" w:sz="4" w:space="0" w:color="auto"/>
            </w:tcBorders>
            <w:tcMar>
              <w:top w:w="0" w:type="dxa"/>
              <w:left w:w="28" w:type="dxa"/>
              <w:bottom w:w="0" w:type="dxa"/>
              <w:right w:w="28" w:type="dxa"/>
            </w:tcMar>
          </w:tcPr>
          <w:p w:rsidR="00092812" w:rsidRPr="00A82B01" w:rsidRDefault="00092812" w:rsidP="00A82B01">
            <w:pPr>
              <w:spacing w:before="120"/>
            </w:pPr>
          </w:p>
        </w:tc>
      </w:tr>
    </w:tbl>
    <w:p w:rsidR="00092812" w:rsidRPr="00A82B01" w:rsidRDefault="00092812" w:rsidP="00A82B01">
      <w:pPr>
        <w:spacing w:before="120"/>
        <w:rPr>
          <w:lang w:val="en-US"/>
        </w:rPr>
      </w:pPr>
    </w:p>
    <w:p w:rsidR="00092812" w:rsidRPr="00A82B01" w:rsidRDefault="00092812" w:rsidP="00A82B01">
      <w:pPr>
        <w:spacing w:before="120"/>
      </w:pPr>
    </w:p>
    <w:sectPr w:rsidR="00092812" w:rsidRPr="00A82B01" w:rsidSect="00F06838">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4976"/>
    <w:multiLevelType w:val="hybridMultilevel"/>
    <w:tmpl w:val="C93ED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B156A3"/>
    <w:multiLevelType w:val="multilevel"/>
    <w:tmpl w:val="CD9677D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92B3C5B"/>
    <w:multiLevelType w:val="multilevel"/>
    <w:tmpl w:val="DD3CC6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D591358"/>
    <w:multiLevelType w:val="hybridMultilevel"/>
    <w:tmpl w:val="8592A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BA3D7E"/>
    <w:multiLevelType w:val="hybridMultilevel"/>
    <w:tmpl w:val="065AF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144054"/>
    <w:multiLevelType w:val="hybridMultilevel"/>
    <w:tmpl w:val="3C68EF56"/>
    <w:lvl w:ilvl="0" w:tplc="D5187BC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233362"/>
    <w:multiLevelType w:val="hybridMultilevel"/>
    <w:tmpl w:val="4EBC0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A14751"/>
    <w:multiLevelType w:val="hybridMultilevel"/>
    <w:tmpl w:val="5C6E850E"/>
    <w:lvl w:ilvl="0" w:tplc="235CD4E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539585F"/>
    <w:multiLevelType w:val="hybridMultilevel"/>
    <w:tmpl w:val="075CA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7515DC"/>
    <w:multiLevelType w:val="hybridMultilevel"/>
    <w:tmpl w:val="71207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9F2AA8"/>
    <w:multiLevelType w:val="hybridMultilevel"/>
    <w:tmpl w:val="39E47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2B712E"/>
    <w:multiLevelType w:val="hybridMultilevel"/>
    <w:tmpl w:val="5C662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A1F71C1"/>
    <w:multiLevelType w:val="multilevel"/>
    <w:tmpl w:val="9DD0D4D4"/>
    <w:lvl w:ilvl="0">
      <w:start w:val="1"/>
      <w:numFmt w:val="decimal"/>
      <w:lvlText w:val="%1."/>
      <w:lvlJc w:val="left"/>
      <w:pPr>
        <w:ind w:left="495" w:hanging="49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nsid w:val="6CF37435"/>
    <w:multiLevelType w:val="hybridMultilevel"/>
    <w:tmpl w:val="A9AA6104"/>
    <w:lvl w:ilvl="0" w:tplc="0E4E0CD6">
      <w:start w:val="3"/>
      <w:numFmt w:val="decimal"/>
      <w:lvlText w:val="%1."/>
      <w:lvlJc w:val="left"/>
      <w:pPr>
        <w:ind w:left="360" w:hanging="360"/>
      </w:pPr>
      <w:rPr>
        <w:rFonts w:asciiTheme="minorHAnsi" w:hAnsiTheme="minorHAnsi" w:cstheme="minorBid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04F5F24"/>
    <w:multiLevelType w:val="hybridMultilevel"/>
    <w:tmpl w:val="7D8608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0EC4B5F"/>
    <w:multiLevelType w:val="hybridMultilevel"/>
    <w:tmpl w:val="7BD06ECA"/>
    <w:lvl w:ilvl="0" w:tplc="7BE0A9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11"/>
  </w:num>
  <w:num w:numId="7">
    <w:abstractNumId w:val="2"/>
  </w:num>
  <w:num w:numId="8">
    <w:abstractNumId w:val="13"/>
  </w:num>
  <w:num w:numId="9">
    <w:abstractNumId w:val="1"/>
  </w:num>
  <w:num w:numId="10">
    <w:abstractNumId w:val="3"/>
  </w:num>
  <w:num w:numId="11">
    <w:abstractNumId w:val="4"/>
  </w:num>
  <w:num w:numId="12">
    <w:abstractNumId w:val="0"/>
  </w:num>
  <w:num w:numId="13">
    <w:abstractNumId w:val="6"/>
  </w:num>
  <w:num w:numId="14">
    <w:abstractNumId w:val="16"/>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12"/>
    <w:rsid w:val="000035E0"/>
    <w:rsid w:val="000218F6"/>
    <w:rsid w:val="0002272A"/>
    <w:rsid w:val="00043C5F"/>
    <w:rsid w:val="000472B1"/>
    <w:rsid w:val="000501B4"/>
    <w:rsid w:val="00063CEA"/>
    <w:rsid w:val="00072E77"/>
    <w:rsid w:val="00085D68"/>
    <w:rsid w:val="00086EB4"/>
    <w:rsid w:val="000874AF"/>
    <w:rsid w:val="0009038C"/>
    <w:rsid w:val="00092812"/>
    <w:rsid w:val="00094A8E"/>
    <w:rsid w:val="000C4DB2"/>
    <w:rsid w:val="000D34C3"/>
    <w:rsid w:val="000E2B5B"/>
    <w:rsid w:val="000E30EB"/>
    <w:rsid w:val="000E3262"/>
    <w:rsid w:val="000E3367"/>
    <w:rsid w:val="000E7330"/>
    <w:rsid w:val="0010170D"/>
    <w:rsid w:val="001266CA"/>
    <w:rsid w:val="00131F9E"/>
    <w:rsid w:val="001516F9"/>
    <w:rsid w:val="00153B5E"/>
    <w:rsid w:val="00174F89"/>
    <w:rsid w:val="00192C80"/>
    <w:rsid w:val="001B0007"/>
    <w:rsid w:val="001B08F6"/>
    <w:rsid w:val="001B1B8E"/>
    <w:rsid w:val="00224519"/>
    <w:rsid w:val="00244BB8"/>
    <w:rsid w:val="00251944"/>
    <w:rsid w:val="00253F18"/>
    <w:rsid w:val="002570B7"/>
    <w:rsid w:val="0026651C"/>
    <w:rsid w:val="002667DA"/>
    <w:rsid w:val="00280A69"/>
    <w:rsid w:val="002863A9"/>
    <w:rsid w:val="0029136E"/>
    <w:rsid w:val="00291FAD"/>
    <w:rsid w:val="002C4EB8"/>
    <w:rsid w:val="002D03A4"/>
    <w:rsid w:val="002E7E10"/>
    <w:rsid w:val="00304C16"/>
    <w:rsid w:val="00314249"/>
    <w:rsid w:val="003A71B0"/>
    <w:rsid w:val="003B3ED0"/>
    <w:rsid w:val="003D24FB"/>
    <w:rsid w:val="003E3C47"/>
    <w:rsid w:val="00400719"/>
    <w:rsid w:val="00424460"/>
    <w:rsid w:val="00425A82"/>
    <w:rsid w:val="00474066"/>
    <w:rsid w:val="00483D59"/>
    <w:rsid w:val="0049256A"/>
    <w:rsid w:val="004A792D"/>
    <w:rsid w:val="004E2324"/>
    <w:rsid w:val="004E2980"/>
    <w:rsid w:val="005065EE"/>
    <w:rsid w:val="00527D4F"/>
    <w:rsid w:val="00571024"/>
    <w:rsid w:val="00576485"/>
    <w:rsid w:val="005859CE"/>
    <w:rsid w:val="005B6212"/>
    <w:rsid w:val="005C4E67"/>
    <w:rsid w:val="005D6325"/>
    <w:rsid w:val="005F250C"/>
    <w:rsid w:val="00613CA0"/>
    <w:rsid w:val="006418FB"/>
    <w:rsid w:val="0064252D"/>
    <w:rsid w:val="00654777"/>
    <w:rsid w:val="00672161"/>
    <w:rsid w:val="006B4D8B"/>
    <w:rsid w:val="00722F8C"/>
    <w:rsid w:val="007336FF"/>
    <w:rsid w:val="00735E5E"/>
    <w:rsid w:val="007657AA"/>
    <w:rsid w:val="00766F7B"/>
    <w:rsid w:val="00785F9D"/>
    <w:rsid w:val="007B5326"/>
    <w:rsid w:val="007C43B6"/>
    <w:rsid w:val="007D0544"/>
    <w:rsid w:val="007D12B7"/>
    <w:rsid w:val="0080510F"/>
    <w:rsid w:val="00805515"/>
    <w:rsid w:val="00810A97"/>
    <w:rsid w:val="00824801"/>
    <w:rsid w:val="00826D4A"/>
    <w:rsid w:val="00837906"/>
    <w:rsid w:val="00850252"/>
    <w:rsid w:val="008860E4"/>
    <w:rsid w:val="00886FCC"/>
    <w:rsid w:val="0089584F"/>
    <w:rsid w:val="008C6D75"/>
    <w:rsid w:val="008D08D4"/>
    <w:rsid w:val="008D5F4D"/>
    <w:rsid w:val="00906D31"/>
    <w:rsid w:val="00910E92"/>
    <w:rsid w:val="00922F11"/>
    <w:rsid w:val="00926BA4"/>
    <w:rsid w:val="0093137C"/>
    <w:rsid w:val="00934DA8"/>
    <w:rsid w:val="00936C5C"/>
    <w:rsid w:val="009508B4"/>
    <w:rsid w:val="00950D2B"/>
    <w:rsid w:val="00985FD6"/>
    <w:rsid w:val="0099052A"/>
    <w:rsid w:val="009D01E5"/>
    <w:rsid w:val="009D0E21"/>
    <w:rsid w:val="00A17D2C"/>
    <w:rsid w:val="00A23159"/>
    <w:rsid w:val="00A5174D"/>
    <w:rsid w:val="00A607B8"/>
    <w:rsid w:val="00A82B01"/>
    <w:rsid w:val="00A84A7D"/>
    <w:rsid w:val="00A86E18"/>
    <w:rsid w:val="00AA2F46"/>
    <w:rsid w:val="00AE042A"/>
    <w:rsid w:val="00AF66C6"/>
    <w:rsid w:val="00B14632"/>
    <w:rsid w:val="00B44C52"/>
    <w:rsid w:val="00B7590A"/>
    <w:rsid w:val="00B9493B"/>
    <w:rsid w:val="00BB0633"/>
    <w:rsid w:val="00BB5572"/>
    <w:rsid w:val="00BD2124"/>
    <w:rsid w:val="00BD2DCD"/>
    <w:rsid w:val="00BD678C"/>
    <w:rsid w:val="00BE56CC"/>
    <w:rsid w:val="00BF0920"/>
    <w:rsid w:val="00C23519"/>
    <w:rsid w:val="00C24D89"/>
    <w:rsid w:val="00C4049A"/>
    <w:rsid w:val="00C504CA"/>
    <w:rsid w:val="00C7255C"/>
    <w:rsid w:val="00C9279E"/>
    <w:rsid w:val="00C950F6"/>
    <w:rsid w:val="00CA2763"/>
    <w:rsid w:val="00CB4D34"/>
    <w:rsid w:val="00CC244B"/>
    <w:rsid w:val="00CD7BA5"/>
    <w:rsid w:val="00CE0DEE"/>
    <w:rsid w:val="00CF022B"/>
    <w:rsid w:val="00D109B2"/>
    <w:rsid w:val="00D140A0"/>
    <w:rsid w:val="00D404ED"/>
    <w:rsid w:val="00D52E3D"/>
    <w:rsid w:val="00D6362C"/>
    <w:rsid w:val="00D82288"/>
    <w:rsid w:val="00D95201"/>
    <w:rsid w:val="00DA635D"/>
    <w:rsid w:val="00DB0EEA"/>
    <w:rsid w:val="00DC4696"/>
    <w:rsid w:val="00DC4A2B"/>
    <w:rsid w:val="00E2188C"/>
    <w:rsid w:val="00E263DF"/>
    <w:rsid w:val="00E35FDD"/>
    <w:rsid w:val="00E4443C"/>
    <w:rsid w:val="00E76012"/>
    <w:rsid w:val="00EB3E9B"/>
    <w:rsid w:val="00EC414D"/>
    <w:rsid w:val="00ED0033"/>
    <w:rsid w:val="00EE4817"/>
    <w:rsid w:val="00EE50C3"/>
    <w:rsid w:val="00EF0A94"/>
    <w:rsid w:val="00F06838"/>
    <w:rsid w:val="00F16BEF"/>
    <w:rsid w:val="00F17CC3"/>
    <w:rsid w:val="00F34664"/>
    <w:rsid w:val="00F41C73"/>
    <w:rsid w:val="00F511D5"/>
    <w:rsid w:val="00F57BC5"/>
    <w:rsid w:val="00F72038"/>
    <w:rsid w:val="00F72686"/>
    <w:rsid w:val="00F74969"/>
    <w:rsid w:val="00FC47A0"/>
    <w:rsid w:val="00FE300D"/>
    <w:rsid w:val="00FF1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812"/>
    <w:pPr>
      <w:spacing w:after="0" w:line="240" w:lineRule="auto"/>
    </w:pPr>
  </w:style>
  <w:style w:type="table" w:styleId="a4">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92812"/>
    <w:rPr>
      <w:color w:val="0000FF" w:themeColor="hyperlink"/>
      <w:u w:val="single"/>
    </w:rPr>
  </w:style>
  <w:style w:type="paragraph" w:styleId="a6">
    <w:name w:val="Normal (Web)"/>
    <w:basedOn w:val="a"/>
    <w:uiPriority w:val="99"/>
    <w:unhideWhenUsed/>
    <w:rsid w:val="00092812"/>
    <w:pPr>
      <w:autoSpaceDE/>
      <w:autoSpaceDN/>
      <w:spacing w:before="100" w:beforeAutospacing="1" w:after="100" w:afterAutospacing="1"/>
    </w:pPr>
  </w:style>
  <w:style w:type="paragraph" w:styleId="a7">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8">
    <w:name w:val="Strong"/>
    <w:basedOn w:val="a0"/>
    <w:uiPriority w:val="22"/>
    <w:qFormat/>
    <w:rsid w:val="00C235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812"/>
    <w:pPr>
      <w:spacing w:after="0" w:line="240" w:lineRule="auto"/>
    </w:pPr>
  </w:style>
  <w:style w:type="table" w:styleId="a4">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92812"/>
    <w:rPr>
      <w:color w:val="0000FF" w:themeColor="hyperlink"/>
      <w:u w:val="single"/>
    </w:rPr>
  </w:style>
  <w:style w:type="paragraph" w:styleId="a6">
    <w:name w:val="Normal (Web)"/>
    <w:basedOn w:val="a"/>
    <w:uiPriority w:val="99"/>
    <w:unhideWhenUsed/>
    <w:rsid w:val="00092812"/>
    <w:pPr>
      <w:autoSpaceDE/>
      <w:autoSpaceDN/>
      <w:spacing w:before="100" w:beforeAutospacing="1" w:after="100" w:afterAutospacing="1"/>
    </w:pPr>
  </w:style>
  <w:style w:type="paragraph" w:styleId="a7">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8">
    <w:name w:val="Strong"/>
    <w:basedOn w:val="a0"/>
    <w:uiPriority w:val="22"/>
    <w:qFormat/>
    <w:rsid w:val="00C23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10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tyles" Target="styles.xml"/><Relationship Id="rId7" Type="http://schemas.openxmlformats.org/officeDocument/2006/relationships/hyperlink" Target="http://www.kubanenerg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2818A2-C8D1-41B6-8E7E-AC94C7D87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2</Pages>
  <Words>609</Words>
  <Characters>3473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156</cp:revision>
  <dcterms:created xsi:type="dcterms:W3CDTF">2013-09-10T08:51:00Z</dcterms:created>
  <dcterms:modified xsi:type="dcterms:W3CDTF">2014-03-03T14:04:00Z</dcterms:modified>
</cp:coreProperties>
</file>