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12" w:rsidRPr="009739BC" w:rsidRDefault="00092812" w:rsidP="009739B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39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Corporate action statement </w:t>
      </w:r>
    </w:p>
    <w:p w:rsidR="00092812" w:rsidRPr="009739BC" w:rsidRDefault="00092812" w:rsidP="009739B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39BC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092812" w:rsidRPr="009739BC" w:rsidRDefault="00092812" w:rsidP="009739B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739BC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9739BC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9739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6237"/>
      </w:tblGrid>
      <w:tr w:rsidR="00092812" w:rsidRPr="009739BC" w:rsidTr="009739BC">
        <w:tc>
          <w:tcPr>
            <w:tcW w:w="10207" w:type="dxa"/>
            <w:gridSpan w:val="2"/>
          </w:tcPr>
          <w:p w:rsidR="00092812" w:rsidRPr="009739BC" w:rsidRDefault="00092812" w:rsidP="00A82B01">
            <w:pPr>
              <w:pStyle w:val="a3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092812" w:rsidRPr="009739BC" w:rsidTr="009739BC">
        <w:trPr>
          <w:trHeight w:val="599"/>
        </w:trPr>
        <w:tc>
          <w:tcPr>
            <w:tcW w:w="3970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37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092812" w:rsidRPr="009739BC" w:rsidTr="009739BC">
        <w:tc>
          <w:tcPr>
            <w:tcW w:w="3970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37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092812" w:rsidRPr="009739BC" w:rsidTr="009739BC">
        <w:tc>
          <w:tcPr>
            <w:tcW w:w="3970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37" w:type="dxa"/>
          </w:tcPr>
          <w:p w:rsidR="00092812" w:rsidRPr="009739BC" w:rsidRDefault="00092812" w:rsidP="00A82B01">
            <w:pPr>
              <w:spacing w:before="120"/>
              <w:rPr>
                <w:lang w:val="en-US" w:eastAsia="en-US"/>
              </w:rPr>
            </w:pPr>
            <w:r w:rsidRPr="009739BC">
              <w:rPr>
                <w:lang w:val="en-US" w:eastAsia="en-US"/>
              </w:rPr>
              <w:t>2, Stavropolskaya str., Krasnodar, Russian federation, 350033</w:t>
            </w:r>
          </w:p>
        </w:tc>
      </w:tr>
      <w:tr w:rsidR="00092812" w:rsidRPr="009739BC" w:rsidTr="009739BC">
        <w:tc>
          <w:tcPr>
            <w:tcW w:w="3970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37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092812" w:rsidRPr="009739BC" w:rsidTr="009739BC">
        <w:tc>
          <w:tcPr>
            <w:tcW w:w="3970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37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092812" w:rsidRPr="009739BC" w:rsidTr="009739BC">
        <w:tc>
          <w:tcPr>
            <w:tcW w:w="3970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6237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092812" w:rsidRPr="009739BC" w:rsidTr="009739BC">
        <w:tc>
          <w:tcPr>
            <w:tcW w:w="3970" w:type="dxa"/>
          </w:tcPr>
          <w:p w:rsidR="00092812" w:rsidRPr="009739BC" w:rsidRDefault="00092812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37" w:type="dxa"/>
          </w:tcPr>
          <w:p w:rsidR="00910E92" w:rsidRPr="009739BC" w:rsidRDefault="009739BC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910E92" w:rsidRPr="009739BC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</w:p>
          <w:p w:rsidR="00092812" w:rsidRPr="009739BC" w:rsidRDefault="009739BC" w:rsidP="00A82B01">
            <w:pPr>
              <w:pStyle w:val="a3"/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92812" w:rsidRPr="009739B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92812" w:rsidRPr="009739BC" w:rsidTr="009739BC">
        <w:tc>
          <w:tcPr>
            <w:tcW w:w="10207" w:type="dxa"/>
            <w:gridSpan w:val="2"/>
          </w:tcPr>
          <w:p w:rsidR="00092812" w:rsidRPr="009739BC" w:rsidRDefault="00092812" w:rsidP="00A82B0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120"/>
              <w:jc w:val="center"/>
              <w:rPr>
                <w:b/>
                <w:bCs/>
                <w:lang w:val="en-US" w:eastAsia="en-US"/>
              </w:rPr>
            </w:pPr>
            <w:r w:rsidRPr="009739BC">
              <w:rPr>
                <w:lang w:val="en-US" w:eastAsia="en-US"/>
              </w:rPr>
              <w:t>2. Statement content</w:t>
            </w:r>
          </w:p>
        </w:tc>
      </w:tr>
      <w:tr w:rsidR="00092812" w:rsidRPr="009739BC" w:rsidTr="009739BC">
        <w:trPr>
          <w:trHeight w:val="2072"/>
        </w:trPr>
        <w:tc>
          <w:tcPr>
            <w:tcW w:w="10207" w:type="dxa"/>
            <w:gridSpan w:val="2"/>
          </w:tcPr>
          <w:p w:rsidR="00092812" w:rsidRPr="009739BC" w:rsidRDefault="00092812" w:rsidP="009739BC">
            <w:pPr>
              <w:tabs>
                <w:tab w:val="left" w:pos="284"/>
              </w:tabs>
              <w:jc w:val="both"/>
              <w:rPr>
                <w:b/>
                <w:lang w:val="en-US"/>
              </w:rPr>
            </w:pPr>
            <w:r w:rsidRPr="009739BC">
              <w:rPr>
                <w:b/>
                <w:lang w:val="en-US"/>
              </w:rPr>
              <w:t>2.1 Quorum of meeting of issuer’s BoD and results of voting on the adopted decisions:</w:t>
            </w:r>
          </w:p>
          <w:p w:rsidR="00092812" w:rsidRPr="009739BC" w:rsidRDefault="00092812" w:rsidP="009739BC">
            <w:pPr>
              <w:widowControl w:val="0"/>
              <w:jc w:val="both"/>
              <w:rPr>
                <w:lang w:val="en-US"/>
              </w:rPr>
            </w:pPr>
            <w:r w:rsidRPr="009739BC">
              <w:rPr>
                <w:lang w:val="en-US"/>
              </w:rPr>
              <w:t>Number of BoD members: 11 persons</w:t>
            </w:r>
          </w:p>
          <w:p w:rsidR="00092812" w:rsidRPr="009739BC" w:rsidRDefault="00092812" w:rsidP="009739BC">
            <w:pPr>
              <w:tabs>
                <w:tab w:val="left" w:pos="284"/>
              </w:tabs>
              <w:jc w:val="both"/>
              <w:rPr>
                <w:lang w:val="en-US"/>
              </w:rPr>
            </w:pPr>
            <w:r w:rsidRPr="009739BC">
              <w:rPr>
                <w:lang w:val="en-US"/>
              </w:rPr>
              <w:t xml:space="preserve">Member participated in the meeting: </w:t>
            </w:r>
            <w:r w:rsidR="00910E92" w:rsidRPr="009739BC">
              <w:rPr>
                <w:lang w:val="en-US"/>
              </w:rPr>
              <w:t>8</w:t>
            </w:r>
            <w:r w:rsidRPr="009739BC">
              <w:rPr>
                <w:lang w:val="en-US"/>
              </w:rPr>
              <w:t xml:space="preserve"> persons </w:t>
            </w:r>
          </w:p>
          <w:p w:rsidR="00092812" w:rsidRPr="009739BC" w:rsidRDefault="00092812" w:rsidP="009739BC">
            <w:pPr>
              <w:tabs>
                <w:tab w:val="left" w:pos="284"/>
              </w:tabs>
              <w:jc w:val="both"/>
              <w:rPr>
                <w:lang w:val="en-US"/>
              </w:rPr>
            </w:pPr>
            <w:r w:rsidRPr="009739BC">
              <w:rPr>
                <w:lang w:val="en-US"/>
              </w:rPr>
              <w:t>Quorum necessary for holding the meeting of Kubanenergo JSC Board of Directors is present.</w:t>
            </w:r>
          </w:p>
          <w:p w:rsidR="00092812" w:rsidRPr="009739BC" w:rsidRDefault="00092812" w:rsidP="009739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A607B8" w:rsidRPr="009739BC" w:rsidTr="00F06838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739B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739B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Votes</w:t>
                  </w:r>
                </w:p>
              </w:tc>
            </w:tr>
            <w:tr w:rsidR="00A607B8" w:rsidRPr="009739BC" w:rsidTr="00F06838">
              <w:trPr>
                <w:jc w:val="center"/>
              </w:trPr>
              <w:tc>
                <w:tcPr>
                  <w:tcW w:w="1129" w:type="dxa"/>
                  <w:vMerge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39B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39B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39B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ABSTAINED</w:t>
                  </w:r>
                </w:p>
              </w:tc>
            </w:tr>
            <w:tr w:rsidR="00A607B8" w:rsidRPr="009739BC" w:rsidTr="00F06838">
              <w:trPr>
                <w:jc w:val="center"/>
              </w:trPr>
              <w:tc>
                <w:tcPr>
                  <w:tcW w:w="1129" w:type="dxa"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3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39B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1" w:type="dxa"/>
                </w:tcPr>
                <w:p w:rsidR="00A607B8" w:rsidRPr="009739BC" w:rsidRDefault="00A607B8" w:rsidP="009739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92812" w:rsidRPr="009739BC" w:rsidRDefault="00092812" w:rsidP="009739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2812" w:rsidRPr="009739BC" w:rsidTr="009739BC">
        <w:tc>
          <w:tcPr>
            <w:tcW w:w="10207" w:type="dxa"/>
            <w:gridSpan w:val="2"/>
          </w:tcPr>
          <w:p w:rsidR="00092812" w:rsidRPr="009739BC" w:rsidRDefault="00092812" w:rsidP="00A82B01">
            <w:pPr>
              <w:autoSpaceDE/>
              <w:autoSpaceDN/>
              <w:spacing w:before="120"/>
              <w:jc w:val="center"/>
              <w:rPr>
                <w:b/>
                <w:lang w:val="en-US"/>
              </w:rPr>
            </w:pPr>
            <w:r w:rsidRPr="009739BC">
              <w:rPr>
                <w:b/>
                <w:lang w:val="en-US"/>
              </w:rPr>
              <w:t>Di</w:t>
            </w:r>
            <w:r w:rsidR="00C7255C" w:rsidRPr="009739BC">
              <w:rPr>
                <w:b/>
                <w:lang w:val="en-US"/>
              </w:rPr>
              <w:t>sclosure of insider information</w:t>
            </w:r>
            <w:r w:rsidR="00910E92" w:rsidRPr="009739BC">
              <w:rPr>
                <w:b/>
                <w:lang w:val="en-US"/>
              </w:rPr>
              <w:t xml:space="preserve"> o</w:t>
            </w:r>
            <w:r w:rsidRPr="009739BC">
              <w:rPr>
                <w:b/>
                <w:lang w:val="en-US"/>
              </w:rPr>
              <w:t>n item No.1 “</w:t>
            </w:r>
            <w:r w:rsidR="009739BC" w:rsidRPr="009739BC">
              <w:rPr>
                <w:b/>
                <w:lang w:val="en-US"/>
              </w:rPr>
              <w:t>On taking into consideration the project of amended investment programme of the Company for 2014 and period till 2019</w:t>
            </w:r>
            <w:r w:rsidRPr="009739BC">
              <w:rPr>
                <w:b/>
                <w:lang w:val="en-US"/>
              </w:rPr>
              <w:t>”</w:t>
            </w:r>
          </w:p>
        </w:tc>
      </w:tr>
      <w:tr w:rsidR="00092812" w:rsidRPr="009739BC" w:rsidTr="009739BC">
        <w:tc>
          <w:tcPr>
            <w:tcW w:w="10207" w:type="dxa"/>
            <w:gridSpan w:val="2"/>
          </w:tcPr>
          <w:p w:rsidR="00092812" w:rsidRPr="009739BC" w:rsidRDefault="00092812" w:rsidP="00A82B01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2.2.1. </w:t>
            </w:r>
            <w:r w:rsidR="00CE0DEE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ecision adopted by issuer’s Board of Directors:</w:t>
            </w:r>
          </w:p>
          <w:p w:rsidR="00244BB8" w:rsidRPr="009739BC" w:rsidRDefault="009739BC" w:rsidP="009739BC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lang w:val="en-US"/>
              </w:rPr>
              <w:t xml:space="preserve">To approve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project of amended investment programme of the Company for 2014 and period </w:t>
            </w:r>
            <w:proofErr w:type="gramStart"/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till</w:t>
            </w:r>
            <w:proofErr w:type="gramEnd"/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</w:t>
            </w:r>
            <w:r w:rsidRPr="009739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accordance with Annex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to present decision of Company’s BoD.</w:t>
            </w:r>
          </w:p>
          <w:p w:rsidR="009739BC" w:rsidRPr="009739BC" w:rsidRDefault="009739BC" w:rsidP="009739BC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instruct sole executive body of the Company to ensure the approval of the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amended investment programme of the Company for 2014 and period </w:t>
            </w:r>
            <w:proofErr w:type="gramStart"/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till</w:t>
            </w:r>
            <w:proofErr w:type="gramEnd"/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authorized bodies of executive power in procedure stipulated by Regulation of RF Government No.977 dated 1 December 2009.</w:t>
            </w:r>
          </w:p>
          <w:p w:rsidR="009739BC" w:rsidRPr="009739BC" w:rsidRDefault="009739BC" w:rsidP="009739BC">
            <w:pPr>
              <w:pStyle w:val="a3"/>
              <w:numPr>
                <w:ilvl w:val="0"/>
                <w:numId w:val="18"/>
              </w:numPr>
              <w:tabs>
                <w:tab w:val="left" w:pos="426"/>
              </w:tabs>
              <w:spacing w:before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30 days upon the 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 o</w:t>
            </w:r>
            <w:bookmarkStart w:id="0" w:name="_GoBack"/>
            <w:bookmarkEnd w:id="0"/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 the amended investment programme of the Company for 2014 and period till 2019 by authorized bodies of executive power in procedure stipulated by Regulation of RF Government No.977 dated 1 December 2009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submit to the BoD a report on implementation of paragraph 2 of the decision </w:t>
            </w:r>
          </w:p>
        </w:tc>
      </w:tr>
      <w:tr w:rsidR="00314249" w:rsidRPr="009739BC" w:rsidTr="009739BC">
        <w:tc>
          <w:tcPr>
            <w:tcW w:w="10207" w:type="dxa"/>
            <w:gridSpan w:val="2"/>
          </w:tcPr>
          <w:p w:rsidR="00314249" w:rsidRPr="009739BC" w:rsidRDefault="00314249" w:rsidP="00A82B01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Date of holding the meeting of Board of Directors: </w:t>
            </w:r>
            <w:r w:rsidR="009739BC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</w:t>
            </w:r>
            <w:r w:rsidR="00850252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39BC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</w:t>
            </w:r>
            <w:r w:rsidR="00850252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314249" w:rsidRPr="009739BC" w:rsidRDefault="00314249" w:rsidP="009739BC">
            <w:pPr>
              <w:pStyle w:val="a3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="009739BC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March </w:t>
            </w:r>
            <w:r w:rsidR="009739BC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</w:t>
            </w:r>
            <w:r w:rsidR="00850252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minutes of meeting No.1</w:t>
            </w:r>
            <w:r w:rsidR="00850252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739BC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</w:t>
            </w:r>
            <w:r w:rsidR="00850252"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39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14249" w:rsidRPr="009739BC" w:rsidTr="009739BC">
        <w:tc>
          <w:tcPr>
            <w:tcW w:w="10207" w:type="dxa"/>
            <w:gridSpan w:val="2"/>
          </w:tcPr>
          <w:p w:rsidR="00314249" w:rsidRPr="009739BC" w:rsidRDefault="00314249" w:rsidP="00A82B01">
            <w:pPr>
              <w:pStyle w:val="a3"/>
              <w:spacing w:before="12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1020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700"/>
        <w:gridCol w:w="141"/>
        <w:gridCol w:w="1842"/>
        <w:gridCol w:w="570"/>
      </w:tblGrid>
      <w:tr w:rsidR="00092812" w:rsidRPr="009739BC" w:rsidTr="009739BC">
        <w:trPr>
          <w:cantSplit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9739BC" w:rsidRDefault="00092812" w:rsidP="00A82B01">
            <w:pPr>
              <w:spacing w:before="120"/>
              <w:ind w:left="57"/>
              <w:jc w:val="both"/>
              <w:rPr>
                <w:lang w:val="en-US" w:eastAsia="en-US"/>
              </w:rPr>
            </w:pPr>
            <w:r w:rsidRPr="009739BC">
              <w:rPr>
                <w:lang w:val="en-US" w:eastAsia="en-US"/>
              </w:rPr>
              <w:t xml:space="preserve">3.1 Deputy director general in charge of corporate management (attorney dated </w:t>
            </w:r>
            <w:r w:rsidR="00D404ED" w:rsidRPr="009739BC">
              <w:rPr>
                <w:lang w:val="en-US" w:eastAsia="en-US"/>
              </w:rPr>
              <w:t>29.10.2013</w:t>
            </w:r>
            <w:r w:rsidRPr="009739BC">
              <w:rPr>
                <w:lang w:val="en-US" w:eastAsia="en-US"/>
              </w:rPr>
              <w:t>)</w:t>
            </w:r>
          </w:p>
          <w:p w:rsidR="00092812" w:rsidRPr="009739BC" w:rsidRDefault="00092812" w:rsidP="00A82B01">
            <w:pPr>
              <w:spacing w:before="120"/>
              <w:ind w:left="57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9739BC" w:rsidRDefault="00092812" w:rsidP="00A82B01">
            <w:pPr>
              <w:spacing w:before="120"/>
              <w:jc w:val="center"/>
              <w:rPr>
                <w:lang w:val="en-US"/>
              </w:rPr>
            </w:pPr>
          </w:p>
          <w:p w:rsidR="00092812" w:rsidRPr="009739BC" w:rsidRDefault="00092812" w:rsidP="00A82B01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9739BC" w:rsidRDefault="00092812" w:rsidP="00A82B01">
            <w:pPr>
              <w:spacing w:before="120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92812" w:rsidRPr="009739BC" w:rsidRDefault="00092812" w:rsidP="00A82B01">
            <w:pPr>
              <w:spacing w:before="120"/>
              <w:ind w:right="-315"/>
              <w:rPr>
                <w:lang w:val="en-US"/>
              </w:rPr>
            </w:pPr>
            <w:r w:rsidRPr="009739BC">
              <w:rPr>
                <w:lang w:val="en-US" w:eastAsia="en-US"/>
              </w:rPr>
              <w:t>Kocherga V.A.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9739BC" w:rsidRDefault="00092812" w:rsidP="00A82B01">
            <w:pPr>
              <w:spacing w:before="120"/>
              <w:rPr>
                <w:lang w:val="en-US"/>
              </w:rPr>
            </w:pPr>
          </w:p>
        </w:tc>
      </w:tr>
      <w:tr w:rsidR="00092812" w:rsidRPr="009739BC" w:rsidTr="009739BC">
        <w:trPr>
          <w:cantSplit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2812" w:rsidRPr="009739BC" w:rsidRDefault="00092812" w:rsidP="00A82B01">
            <w:pPr>
              <w:autoSpaceDE/>
              <w:autoSpaceDN/>
              <w:spacing w:before="120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92812" w:rsidRPr="009739BC" w:rsidRDefault="00092812" w:rsidP="00A82B01">
            <w:pPr>
              <w:spacing w:before="120"/>
              <w:jc w:val="center"/>
              <w:rPr>
                <w:lang w:val="en-US"/>
              </w:rPr>
            </w:pPr>
            <w:r w:rsidRPr="009739BC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9739BC" w:rsidRDefault="00092812" w:rsidP="00A82B01">
            <w:pPr>
              <w:spacing w:before="120"/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9739BC" w:rsidRDefault="00092812" w:rsidP="00A82B01">
            <w:pPr>
              <w:spacing w:before="120"/>
              <w:rPr>
                <w:lang w:val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9739BC" w:rsidRDefault="00092812" w:rsidP="00A82B01">
            <w:pPr>
              <w:spacing w:before="120"/>
              <w:rPr>
                <w:lang w:val="en-US"/>
              </w:rPr>
            </w:pPr>
          </w:p>
        </w:tc>
      </w:tr>
      <w:tr w:rsidR="00092812" w:rsidRPr="009739BC" w:rsidTr="009739BC">
        <w:trPr>
          <w:cantSplit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92812" w:rsidRPr="009739BC" w:rsidRDefault="00092812" w:rsidP="009739BC">
            <w:pPr>
              <w:spacing w:before="120"/>
              <w:rPr>
                <w:lang w:val="en-US" w:eastAsia="en-US"/>
              </w:rPr>
            </w:pPr>
            <w:r w:rsidRPr="009739BC">
              <w:rPr>
                <w:lang w:val="en-US" w:eastAsia="en-US"/>
              </w:rPr>
              <w:t xml:space="preserve">3.2 Date: </w:t>
            </w:r>
            <w:r w:rsidR="00A82B01" w:rsidRPr="009739BC">
              <w:rPr>
                <w:lang w:val="en-US"/>
              </w:rPr>
              <w:t>March</w:t>
            </w:r>
            <w:r w:rsidR="00CE0DEE" w:rsidRPr="009739BC">
              <w:rPr>
                <w:lang w:val="en-US"/>
              </w:rPr>
              <w:t xml:space="preserve"> </w:t>
            </w:r>
            <w:r w:rsidR="009739BC" w:rsidRPr="009739BC">
              <w:rPr>
                <w:lang w:val="en-US"/>
              </w:rPr>
              <w:t>18</w:t>
            </w:r>
            <w:r w:rsidR="00850252" w:rsidRPr="009739BC">
              <w:rPr>
                <w:lang w:val="en-US"/>
              </w:rPr>
              <w:t>, 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9739BC" w:rsidRDefault="00092812" w:rsidP="00A82B01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92812" w:rsidRPr="009739BC" w:rsidRDefault="00092812" w:rsidP="00A82B01">
            <w:pPr>
              <w:spacing w:before="120"/>
            </w:pPr>
          </w:p>
        </w:tc>
      </w:tr>
      <w:tr w:rsidR="00092812" w:rsidRPr="009739BC" w:rsidTr="009739BC">
        <w:trPr>
          <w:cantSplit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9739BC" w:rsidRDefault="00092812" w:rsidP="009739BC">
            <w:pPr>
              <w:spacing w:before="120"/>
              <w:rPr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92812" w:rsidRPr="009739BC" w:rsidRDefault="00910E92" w:rsidP="00A82B01">
            <w:pPr>
              <w:spacing w:before="120"/>
              <w:jc w:val="center"/>
            </w:pPr>
            <w:r w:rsidRPr="009739BC">
              <w:rPr>
                <w:lang w:val="en-US"/>
              </w:rPr>
              <w:t>place of seal</w:t>
            </w:r>
            <w:r w:rsidR="00092812" w:rsidRPr="009739BC">
              <w:rPr>
                <w:lang w:val="en-US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92812" w:rsidRPr="009739BC" w:rsidRDefault="00092812" w:rsidP="00A82B01">
            <w:pPr>
              <w:spacing w:before="120"/>
            </w:pPr>
          </w:p>
        </w:tc>
      </w:tr>
    </w:tbl>
    <w:p w:rsidR="00092812" w:rsidRPr="009739BC" w:rsidRDefault="00092812" w:rsidP="00A82B01">
      <w:pPr>
        <w:spacing w:before="120"/>
        <w:rPr>
          <w:lang w:val="en-US"/>
        </w:rPr>
      </w:pPr>
    </w:p>
    <w:sectPr w:rsidR="00092812" w:rsidRPr="009739BC" w:rsidSect="00F0683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4976"/>
    <w:multiLevelType w:val="hybridMultilevel"/>
    <w:tmpl w:val="C93ED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156A3"/>
    <w:multiLevelType w:val="multilevel"/>
    <w:tmpl w:val="CD9677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92B3C5B"/>
    <w:multiLevelType w:val="multilevel"/>
    <w:tmpl w:val="DD3C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D591358"/>
    <w:multiLevelType w:val="hybridMultilevel"/>
    <w:tmpl w:val="8592A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A3D7E"/>
    <w:multiLevelType w:val="hybridMultilevel"/>
    <w:tmpl w:val="065A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44054"/>
    <w:multiLevelType w:val="hybridMultilevel"/>
    <w:tmpl w:val="3C68EF56"/>
    <w:lvl w:ilvl="0" w:tplc="D5187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33362"/>
    <w:multiLevelType w:val="hybridMultilevel"/>
    <w:tmpl w:val="4EBC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14751"/>
    <w:multiLevelType w:val="hybridMultilevel"/>
    <w:tmpl w:val="5C6E850E"/>
    <w:lvl w:ilvl="0" w:tplc="235CD4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9585F"/>
    <w:multiLevelType w:val="hybridMultilevel"/>
    <w:tmpl w:val="075CA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515DC"/>
    <w:multiLevelType w:val="hybridMultilevel"/>
    <w:tmpl w:val="7120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F63DC"/>
    <w:multiLevelType w:val="hybridMultilevel"/>
    <w:tmpl w:val="9C20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9F2AA8"/>
    <w:multiLevelType w:val="hybridMultilevel"/>
    <w:tmpl w:val="39E47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B712E"/>
    <w:multiLevelType w:val="hybridMultilevel"/>
    <w:tmpl w:val="5C66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A1F71C1"/>
    <w:multiLevelType w:val="multilevel"/>
    <w:tmpl w:val="9DD0D4D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6CF37435"/>
    <w:multiLevelType w:val="hybridMultilevel"/>
    <w:tmpl w:val="A9AA6104"/>
    <w:lvl w:ilvl="0" w:tplc="0E4E0CD6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4F5F24"/>
    <w:multiLevelType w:val="hybridMultilevel"/>
    <w:tmpl w:val="7D860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C4B5F"/>
    <w:multiLevelType w:val="hybridMultilevel"/>
    <w:tmpl w:val="7BD06ECA"/>
    <w:lvl w:ilvl="0" w:tplc="7BE0A9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2"/>
  </w:num>
  <w:num w:numId="7">
    <w:abstractNumId w:val="2"/>
  </w:num>
  <w:num w:numId="8">
    <w:abstractNumId w:val="14"/>
  </w:num>
  <w:num w:numId="9">
    <w:abstractNumId w:val="1"/>
  </w:num>
  <w:num w:numId="10">
    <w:abstractNumId w:val="3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12"/>
    <w:rsid w:val="000035E0"/>
    <w:rsid w:val="000218F6"/>
    <w:rsid w:val="0002272A"/>
    <w:rsid w:val="00043C5F"/>
    <w:rsid w:val="000472B1"/>
    <w:rsid w:val="000501B4"/>
    <w:rsid w:val="00063CEA"/>
    <w:rsid w:val="00072E77"/>
    <w:rsid w:val="00085D68"/>
    <w:rsid w:val="00086EB4"/>
    <w:rsid w:val="000874AF"/>
    <w:rsid w:val="0009038C"/>
    <w:rsid w:val="00092812"/>
    <w:rsid w:val="00094A8E"/>
    <w:rsid w:val="000C4DB2"/>
    <w:rsid w:val="000D34C3"/>
    <w:rsid w:val="000E2B5B"/>
    <w:rsid w:val="000E30EB"/>
    <w:rsid w:val="000E3262"/>
    <w:rsid w:val="000E3367"/>
    <w:rsid w:val="000E7330"/>
    <w:rsid w:val="0010170D"/>
    <w:rsid w:val="001266CA"/>
    <w:rsid w:val="00131F9E"/>
    <w:rsid w:val="001516F9"/>
    <w:rsid w:val="00153B5E"/>
    <w:rsid w:val="00174F89"/>
    <w:rsid w:val="00192C80"/>
    <w:rsid w:val="001B0007"/>
    <w:rsid w:val="001B08F6"/>
    <w:rsid w:val="001B1B8E"/>
    <w:rsid w:val="00224519"/>
    <w:rsid w:val="00244BB8"/>
    <w:rsid w:val="00251944"/>
    <w:rsid w:val="00253F18"/>
    <w:rsid w:val="002570B7"/>
    <w:rsid w:val="0026651C"/>
    <w:rsid w:val="002667DA"/>
    <w:rsid w:val="00280A69"/>
    <w:rsid w:val="002863A9"/>
    <w:rsid w:val="0029136E"/>
    <w:rsid w:val="00291FAD"/>
    <w:rsid w:val="002C4EB8"/>
    <w:rsid w:val="002D03A4"/>
    <w:rsid w:val="002E7E10"/>
    <w:rsid w:val="00304C16"/>
    <w:rsid w:val="00314249"/>
    <w:rsid w:val="003A71B0"/>
    <w:rsid w:val="003B3ED0"/>
    <w:rsid w:val="003D24FB"/>
    <w:rsid w:val="003E3C47"/>
    <w:rsid w:val="00400719"/>
    <w:rsid w:val="00424460"/>
    <w:rsid w:val="00425A82"/>
    <w:rsid w:val="00474066"/>
    <w:rsid w:val="00483D59"/>
    <w:rsid w:val="0049256A"/>
    <w:rsid w:val="004A792D"/>
    <w:rsid w:val="004E2324"/>
    <w:rsid w:val="004E2980"/>
    <w:rsid w:val="005065EE"/>
    <w:rsid w:val="00527D4F"/>
    <w:rsid w:val="00571024"/>
    <w:rsid w:val="00576485"/>
    <w:rsid w:val="005859CE"/>
    <w:rsid w:val="005B6212"/>
    <w:rsid w:val="005C4E67"/>
    <w:rsid w:val="005D6325"/>
    <w:rsid w:val="005F250C"/>
    <w:rsid w:val="00613CA0"/>
    <w:rsid w:val="006418FB"/>
    <w:rsid w:val="0064252D"/>
    <w:rsid w:val="00654777"/>
    <w:rsid w:val="00672161"/>
    <w:rsid w:val="006B4D8B"/>
    <w:rsid w:val="00722F8C"/>
    <w:rsid w:val="007336FF"/>
    <w:rsid w:val="00735E5E"/>
    <w:rsid w:val="007657AA"/>
    <w:rsid w:val="00766F7B"/>
    <w:rsid w:val="00785F9D"/>
    <w:rsid w:val="007B5326"/>
    <w:rsid w:val="007C43B6"/>
    <w:rsid w:val="007D0544"/>
    <w:rsid w:val="007D12B7"/>
    <w:rsid w:val="0080510F"/>
    <w:rsid w:val="00805515"/>
    <w:rsid w:val="00810A97"/>
    <w:rsid w:val="00824801"/>
    <w:rsid w:val="00826D4A"/>
    <w:rsid w:val="00837906"/>
    <w:rsid w:val="00850252"/>
    <w:rsid w:val="008860E4"/>
    <w:rsid w:val="00886FCC"/>
    <w:rsid w:val="0089584F"/>
    <w:rsid w:val="008C6D75"/>
    <w:rsid w:val="008D08D4"/>
    <w:rsid w:val="008D5F4D"/>
    <w:rsid w:val="00906D31"/>
    <w:rsid w:val="00910E92"/>
    <w:rsid w:val="00922F11"/>
    <w:rsid w:val="00926BA4"/>
    <w:rsid w:val="0093137C"/>
    <w:rsid w:val="00934DA8"/>
    <w:rsid w:val="00936C5C"/>
    <w:rsid w:val="009508B4"/>
    <w:rsid w:val="00950D2B"/>
    <w:rsid w:val="009739BC"/>
    <w:rsid w:val="00985FD6"/>
    <w:rsid w:val="0099052A"/>
    <w:rsid w:val="009D01E5"/>
    <w:rsid w:val="009D0E21"/>
    <w:rsid w:val="00A17D2C"/>
    <w:rsid w:val="00A23159"/>
    <w:rsid w:val="00A5174D"/>
    <w:rsid w:val="00A607B8"/>
    <w:rsid w:val="00A82B01"/>
    <w:rsid w:val="00A84A7D"/>
    <w:rsid w:val="00A86E18"/>
    <w:rsid w:val="00AA2F46"/>
    <w:rsid w:val="00AE042A"/>
    <w:rsid w:val="00AF66C6"/>
    <w:rsid w:val="00B14632"/>
    <w:rsid w:val="00B44C52"/>
    <w:rsid w:val="00B7590A"/>
    <w:rsid w:val="00B9493B"/>
    <w:rsid w:val="00BB0633"/>
    <w:rsid w:val="00BB5572"/>
    <w:rsid w:val="00BD2124"/>
    <w:rsid w:val="00BD2DCD"/>
    <w:rsid w:val="00BD678C"/>
    <w:rsid w:val="00BE56CC"/>
    <w:rsid w:val="00BF0920"/>
    <w:rsid w:val="00C23519"/>
    <w:rsid w:val="00C24D89"/>
    <w:rsid w:val="00C4049A"/>
    <w:rsid w:val="00C504CA"/>
    <w:rsid w:val="00C7255C"/>
    <w:rsid w:val="00C9279E"/>
    <w:rsid w:val="00C950F6"/>
    <w:rsid w:val="00CA2763"/>
    <w:rsid w:val="00CB4D34"/>
    <w:rsid w:val="00CC244B"/>
    <w:rsid w:val="00CD7BA5"/>
    <w:rsid w:val="00CE0DEE"/>
    <w:rsid w:val="00CF022B"/>
    <w:rsid w:val="00D109B2"/>
    <w:rsid w:val="00D140A0"/>
    <w:rsid w:val="00D404ED"/>
    <w:rsid w:val="00D52E3D"/>
    <w:rsid w:val="00D6362C"/>
    <w:rsid w:val="00D82288"/>
    <w:rsid w:val="00D95201"/>
    <w:rsid w:val="00DA635D"/>
    <w:rsid w:val="00DB0EEA"/>
    <w:rsid w:val="00DC4696"/>
    <w:rsid w:val="00DC4A2B"/>
    <w:rsid w:val="00E2188C"/>
    <w:rsid w:val="00E263DF"/>
    <w:rsid w:val="00E35FDD"/>
    <w:rsid w:val="00E4443C"/>
    <w:rsid w:val="00E76012"/>
    <w:rsid w:val="00EB3E9B"/>
    <w:rsid w:val="00EC414D"/>
    <w:rsid w:val="00ED0033"/>
    <w:rsid w:val="00EE4817"/>
    <w:rsid w:val="00EE50C3"/>
    <w:rsid w:val="00EF0A94"/>
    <w:rsid w:val="00F06838"/>
    <w:rsid w:val="00F16BEF"/>
    <w:rsid w:val="00F17CC3"/>
    <w:rsid w:val="00F34664"/>
    <w:rsid w:val="00F41C73"/>
    <w:rsid w:val="00F511D5"/>
    <w:rsid w:val="00F57BC5"/>
    <w:rsid w:val="00F72038"/>
    <w:rsid w:val="00F72686"/>
    <w:rsid w:val="00F74969"/>
    <w:rsid w:val="00FC47A0"/>
    <w:rsid w:val="00FE300D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812"/>
    <w:pPr>
      <w:spacing w:after="0" w:line="240" w:lineRule="auto"/>
    </w:pPr>
  </w:style>
  <w:style w:type="table" w:styleId="a4">
    <w:name w:val="Table Grid"/>
    <w:basedOn w:val="a1"/>
    <w:uiPriority w:val="59"/>
    <w:rsid w:val="0009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281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2812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5065EE"/>
    <w:pPr>
      <w:ind w:left="720"/>
      <w:contextualSpacing/>
    </w:pPr>
  </w:style>
  <w:style w:type="character" w:customStyle="1" w:styleId="apple-converted-space">
    <w:name w:val="apple-converted-space"/>
    <w:rsid w:val="00BB5572"/>
  </w:style>
  <w:style w:type="character" w:styleId="a8">
    <w:name w:val="Strong"/>
    <w:basedOn w:val="a0"/>
    <w:uiPriority w:val="22"/>
    <w:qFormat/>
    <w:rsid w:val="00C235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812"/>
    <w:pPr>
      <w:spacing w:after="0" w:line="240" w:lineRule="auto"/>
    </w:pPr>
  </w:style>
  <w:style w:type="table" w:styleId="a4">
    <w:name w:val="Table Grid"/>
    <w:basedOn w:val="a1"/>
    <w:uiPriority w:val="59"/>
    <w:rsid w:val="0009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281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2812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5065EE"/>
    <w:pPr>
      <w:ind w:left="720"/>
      <w:contextualSpacing/>
    </w:pPr>
  </w:style>
  <w:style w:type="character" w:customStyle="1" w:styleId="apple-converted-space">
    <w:name w:val="apple-converted-space"/>
    <w:rsid w:val="00BB5572"/>
  </w:style>
  <w:style w:type="character" w:styleId="a8">
    <w:name w:val="Strong"/>
    <w:basedOn w:val="a0"/>
    <w:uiPriority w:val="22"/>
    <w:qFormat/>
    <w:rsid w:val="00C23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4C34CA-AB4B-45FE-8913-9462A945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157</cp:revision>
  <dcterms:created xsi:type="dcterms:W3CDTF">2013-09-10T08:51:00Z</dcterms:created>
  <dcterms:modified xsi:type="dcterms:W3CDTF">2014-03-18T10:52:00Z</dcterms:modified>
</cp:coreProperties>
</file>