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E9" w:rsidRPr="00294C8E" w:rsidRDefault="000C52E9" w:rsidP="000C52E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94C8E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0C52E9" w:rsidRPr="00294C8E" w:rsidRDefault="000C52E9" w:rsidP="000C52E9">
      <w:pPr>
        <w:jc w:val="center"/>
        <w:rPr>
          <w:b/>
          <w:bCs/>
          <w:sz w:val="24"/>
          <w:szCs w:val="24"/>
          <w:lang w:val="en-US"/>
        </w:rPr>
      </w:pPr>
      <w:r w:rsidRPr="00294C8E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0C52E9" w:rsidRPr="00294C8E" w:rsidRDefault="000C52E9" w:rsidP="000C52E9">
      <w:pPr>
        <w:jc w:val="center"/>
        <w:rPr>
          <w:b/>
          <w:bCs/>
          <w:sz w:val="24"/>
          <w:szCs w:val="24"/>
          <w:lang w:val="en-US"/>
        </w:rPr>
      </w:pPr>
      <w:r w:rsidRPr="00294C8E">
        <w:rPr>
          <w:b/>
          <w:bCs/>
          <w:sz w:val="24"/>
          <w:szCs w:val="24"/>
          <w:lang w:val="en-US"/>
        </w:rPr>
        <w:t>(</w:t>
      </w:r>
      <w:proofErr w:type="gramStart"/>
      <w:r w:rsidRPr="00294C8E">
        <w:rPr>
          <w:b/>
          <w:bCs/>
          <w:sz w:val="24"/>
          <w:szCs w:val="24"/>
          <w:lang w:val="en-US"/>
        </w:rPr>
        <w:t>disclosure</w:t>
      </w:r>
      <w:proofErr w:type="gramEnd"/>
      <w:r w:rsidRPr="00294C8E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8"/>
        <w:gridCol w:w="1984"/>
        <w:gridCol w:w="1700"/>
        <w:gridCol w:w="141"/>
        <w:gridCol w:w="1842"/>
        <w:gridCol w:w="887"/>
      </w:tblGrid>
      <w:tr w:rsidR="000C52E9" w:rsidRPr="00294C8E" w:rsidTr="00CA36C8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0C52E9" w:rsidRPr="001A2F2E" w:rsidTr="00CA36C8">
        <w:trPr>
          <w:trHeight w:val="599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294C8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0C52E9" w:rsidRPr="00294C8E" w:rsidTr="00CA36C8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294C8E">
              <w:rPr>
                <w:rFonts w:ascii="Times New Roman" w:hAnsi="Times New Roman"/>
                <w:sz w:val="24"/>
                <w:szCs w:val="24"/>
              </w:rPr>
              <w:t>’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0C52E9" w:rsidRPr="001A2F2E" w:rsidTr="00CA36C8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0C52E9" w:rsidRPr="00294C8E" w:rsidTr="00CA36C8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0C52E9" w:rsidRPr="00294C8E" w:rsidTr="00CA36C8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0C52E9" w:rsidRPr="00294C8E" w:rsidTr="00CA36C8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0C52E9" w:rsidRPr="001A2F2E" w:rsidTr="00CA36C8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C8E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294C8E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2E9" w:rsidRPr="00294C8E" w:rsidRDefault="000C52E9" w:rsidP="00F26393">
            <w:pPr>
              <w:rPr>
                <w:rStyle w:val="a4"/>
                <w:color w:val="auto"/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/>
              </w:rPr>
              <w:t>http://</w:t>
            </w:r>
            <w:hyperlink r:id="rId6" w:history="1">
              <w:r w:rsidRPr="00294C8E">
                <w:rPr>
                  <w:rStyle w:val="a4"/>
                  <w:color w:val="auto"/>
                  <w:sz w:val="24"/>
                  <w:szCs w:val="24"/>
                  <w:lang w:val="en-US"/>
                </w:rPr>
                <w:t>www.kubanenergo.ru</w:t>
              </w:r>
            </w:hyperlink>
          </w:p>
          <w:p w:rsidR="00E94BB9" w:rsidRPr="00294C8E" w:rsidRDefault="00CA36C8" w:rsidP="00F2639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E94BB9" w:rsidRPr="00294C8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0C52E9" w:rsidRPr="00294C8E" w:rsidTr="00CA36C8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0C52E9" w:rsidRPr="001A2F2E" w:rsidTr="00CA36C8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1A2F2E">
            <w:pPr>
              <w:tabs>
                <w:tab w:val="left" w:pos="142"/>
                <w:tab w:val="left" w:pos="9465"/>
              </w:tabs>
              <w:ind w:left="142" w:right="189"/>
              <w:jc w:val="both"/>
              <w:rPr>
                <w:b/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/>
              </w:rPr>
              <w:t xml:space="preserve">2.1. </w:t>
            </w:r>
            <w:r w:rsidRPr="00294C8E">
              <w:rPr>
                <w:sz w:val="24"/>
                <w:szCs w:val="24"/>
                <w:lang w:val="en-US" w:eastAsia="en-US"/>
              </w:rPr>
              <w:t>Date of adopting by the chairman of BoD a decision to hold meeting of board of directors of the issuer</w:t>
            </w:r>
            <w:r w:rsidRPr="00294C8E">
              <w:rPr>
                <w:sz w:val="24"/>
                <w:szCs w:val="24"/>
                <w:lang w:val="en-US"/>
              </w:rPr>
              <w:t xml:space="preserve">: </w:t>
            </w:r>
            <w:r w:rsidR="006E2E66">
              <w:rPr>
                <w:b/>
                <w:sz w:val="24"/>
                <w:szCs w:val="24"/>
                <w:lang w:val="en-US"/>
              </w:rPr>
              <w:t>2</w:t>
            </w:r>
            <w:r w:rsidR="001A2F2E">
              <w:rPr>
                <w:b/>
                <w:sz w:val="24"/>
                <w:szCs w:val="24"/>
                <w:lang w:val="en-US"/>
              </w:rPr>
              <w:t>4</w:t>
            </w:r>
            <w:r w:rsidR="007A12B2" w:rsidRPr="00294C8E">
              <w:rPr>
                <w:b/>
                <w:sz w:val="24"/>
                <w:szCs w:val="24"/>
                <w:lang w:val="en-US"/>
              </w:rPr>
              <w:t xml:space="preserve"> April</w:t>
            </w:r>
            <w:r w:rsidRPr="00294C8E">
              <w:rPr>
                <w:b/>
                <w:sz w:val="24"/>
                <w:szCs w:val="24"/>
                <w:lang w:val="en-US"/>
              </w:rPr>
              <w:t xml:space="preserve"> 2014</w:t>
            </w:r>
            <w:r w:rsidRPr="00294C8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C52E9" w:rsidRPr="001A2F2E" w:rsidTr="00CA36C8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6E2E66">
            <w:pPr>
              <w:tabs>
                <w:tab w:val="left" w:pos="142"/>
                <w:tab w:val="left" w:pos="9465"/>
              </w:tabs>
              <w:ind w:left="142" w:right="189"/>
              <w:rPr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/>
              </w:rPr>
              <w:t xml:space="preserve">2.2. </w:t>
            </w:r>
            <w:r w:rsidRPr="00294C8E">
              <w:rPr>
                <w:sz w:val="24"/>
                <w:szCs w:val="24"/>
                <w:lang w:val="en-US" w:eastAsia="en-US"/>
              </w:rPr>
              <w:t>Date of holding the meeting of issuer’s BoD</w:t>
            </w:r>
            <w:r w:rsidRPr="00294C8E">
              <w:rPr>
                <w:sz w:val="24"/>
                <w:szCs w:val="24"/>
                <w:lang w:val="en-US"/>
              </w:rPr>
              <w:t>:</w:t>
            </w:r>
            <w:r w:rsidRPr="00294C8E">
              <w:rPr>
                <w:b/>
                <w:sz w:val="24"/>
                <w:szCs w:val="24"/>
                <w:lang w:val="en-US"/>
              </w:rPr>
              <w:t xml:space="preserve"> </w:t>
            </w:r>
            <w:r w:rsidR="006E2E66">
              <w:rPr>
                <w:b/>
                <w:sz w:val="24"/>
                <w:szCs w:val="24"/>
                <w:lang w:val="en-US"/>
              </w:rPr>
              <w:t>8 May</w:t>
            </w:r>
            <w:r w:rsidRPr="00294C8E">
              <w:rPr>
                <w:b/>
                <w:sz w:val="24"/>
                <w:szCs w:val="24"/>
                <w:lang w:val="en-US"/>
              </w:rPr>
              <w:t xml:space="preserve"> 2014</w:t>
            </w:r>
          </w:p>
        </w:tc>
      </w:tr>
      <w:tr w:rsidR="000C52E9" w:rsidRPr="001A2F2E" w:rsidTr="00CA36C8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0C3D76" w:rsidRDefault="000C52E9" w:rsidP="00F26393">
            <w:pPr>
              <w:tabs>
                <w:tab w:val="left" w:pos="142"/>
                <w:tab w:val="left" w:pos="9465"/>
              </w:tabs>
              <w:ind w:left="142" w:right="189"/>
              <w:rPr>
                <w:sz w:val="24"/>
                <w:szCs w:val="24"/>
                <w:lang w:val="en-US"/>
              </w:rPr>
            </w:pPr>
            <w:r w:rsidRPr="000C3D76">
              <w:rPr>
                <w:sz w:val="24"/>
                <w:szCs w:val="24"/>
                <w:lang w:val="en-US"/>
              </w:rPr>
              <w:t xml:space="preserve">2.3. </w:t>
            </w:r>
            <w:r w:rsidRPr="000C3D76">
              <w:rPr>
                <w:sz w:val="24"/>
                <w:szCs w:val="24"/>
                <w:lang w:val="en-US" w:eastAsia="en-US"/>
              </w:rPr>
              <w:t>Agenda of meeting of issuer’s board of directors</w:t>
            </w:r>
            <w:r w:rsidRPr="000C3D76">
              <w:rPr>
                <w:sz w:val="24"/>
                <w:szCs w:val="24"/>
                <w:lang w:val="en-US"/>
              </w:rPr>
              <w:t>:</w:t>
            </w:r>
          </w:p>
          <w:p w:rsidR="001A2F2E" w:rsidRDefault="001A2F2E" w:rsidP="007A12B2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 xml:space="preserve">1. On </w:t>
            </w:r>
            <w:r w:rsidR="00D84B15">
              <w:rPr>
                <w:sz w:val="24"/>
                <w:szCs w:val="24"/>
                <w:lang w:val="en-US"/>
              </w:rPr>
              <w:t>choosing the agenda of Annual General Meeting of Company’s Shareholders.</w:t>
            </w:r>
            <w:proofErr w:type="gramEnd"/>
          </w:p>
          <w:p w:rsidR="00D84B15" w:rsidRDefault="00D84B15" w:rsidP="007A12B2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 xml:space="preserve">2. </w:t>
            </w:r>
            <w:r w:rsidR="00701BB4">
              <w:rPr>
                <w:sz w:val="24"/>
                <w:szCs w:val="24"/>
                <w:lang w:val="en-US"/>
              </w:rPr>
              <w:t>On preliminary approval of 2013 Annual Report of the Company.</w:t>
            </w:r>
            <w:proofErr w:type="gramEnd"/>
          </w:p>
          <w:p w:rsidR="00701BB4" w:rsidRDefault="00701BB4" w:rsidP="007A12B2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803ADA">
              <w:rPr>
                <w:sz w:val="24"/>
                <w:szCs w:val="24"/>
                <w:lang w:val="en-US"/>
              </w:rPr>
              <w:t xml:space="preserve">On </w:t>
            </w:r>
            <w:r w:rsidR="00BD37D6">
              <w:rPr>
                <w:sz w:val="24"/>
                <w:szCs w:val="24"/>
                <w:lang w:val="en-US"/>
              </w:rPr>
              <w:t>discussing the annual accounts for 2013 and providing recommendations on distribution of profit and loss by the results of 2013 financial year.</w:t>
            </w:r>
          </w:p>
          <w:p w:rsidR="00407EF3" w:rsidRPr="00407EF3" w:rsidRDefault="00BD37D6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4</w:t>
            </w:r>
            <w:r w:rsidR="00407EF3">
              <w:rPr>
                <w:sz w:val="24"/>
                <w:szCs w:val="24"/>
                <w:lang w:val="en-US"/>
              </w:rPr>
              <w:t>. On r</w:t>
            </w:r>
            <w:r w:rsidR="00407EF3" w:rsidRPr="00407EF3">
              <w:rPr>
                <w:sz w:val="24"/>
                <w:szCs w:val="24"/>
                <w:lang w:val="en-US"/>
              </w:rPr>
              <w:t xml:space="preserve">ecommendations on the amount of dividends and </w:t>
            </w:r>
            <w:r w:rsidR="00407EF3" w:rsidRPr="00407EF3">
              <w:rPr>
                <w:sz w:val="24"/>
                <w:szCs w:val="24"/>
                <w:lang w:val="en-US"/>
              </w:rPr>
              <w:t>the</w:t>
            </w:r>
            <w:r w:rsidR="00407EF3">
              <w:rPr>
                <w:sz w:val="24"/>
                <w:szCs w:val="24"/>
                <w:lang w:val="en-US"/>
              </w:rPr>
              <w:t>ir</w:t>
            </w:r>
            <w:r w:rsidR="00407EF3" w:rsidRPr="00407EF3">
              <w:rPr>
                <w:sz w:val="24"/>
                <w:szCs w:val="24"/>
                <w:lang w:val="en-US"/>
              </w:rPr>
              <w:t xml:space="preserve"> payment by the </w:t>
            </w:r>
            <w:r w:rsidR="00407EF3">
              <w:rPr>
                <w:sz w:val="24"/>
                <w:szCs w:val="24"/>
                <w:lang w:val="en-US"/>
              </w:rPr>
              <w:t xml:space="preserve">results </w:t>
            </w:r>
            <w:r w:rsidR="00407EF3" w:rsidRPr="00407EF3">
              <w:rPr>
                <w:sz w:val="24"/>
                <w:szCs w:val="24"/>
                <w:lang w:val="en-US"/>
              </w:rPr>
              <w:t>of 2013.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>On discussing the candidature of</w:t>
            </w:r>
            <w:r w:rsidRPr="00407EF3">
              <w:rPr>
                <w:sz w:val="24"/>
                <w:szCs w:val="24"/>
                <w:lang w:val="en-US"/>
              </w:rPr>
              <w:t xml:space="preserve"> the Company's Auditor.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>On choosing</w:t>
            </w:r>
            <w:r w:rsidRPr="00407EF3">
              <w:rPr>
                <w:sz w:val="24"/>
                <w:szCs w:val="24"/>
                <w:lang w:val="en-US"/>
              </w:rPr>
              <w:t xml:space="preserve"> of the type(s) of preferred shares, the holders of which are entitled to vote on the agenda of the Annual General Meeting of Shareholders.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7. </w:t>
            </w:r>
            <w:r>
              <w:rPr>
                <w:sz w:val="24"/>
                <w:szCs w:val="24"/>
                <w:lang w:val="en-US"/>
              </w:rPr>
              <w:t>On making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r w:rsidRPr="00407EF3">
              <w:rPr>
                <w:sz w:val="24"/>
                <w:szCs w:val="24"/>
                <w:lang w:val="en-US"/>
              </w:rPr>
              <w:t xml:space="preserve">the list of information (materials) provided to shareholders of the Company </w:t>
            </w:r>
            <w:r>
              <w:rPr>
                <w:sz w:val="24"/>
                <w:szCs w:val="24"/>
                <w:lang w:val="en-US"/>
              </w:rPr>
              <w:t>during</w:t>
            </w:r>
            <w:r w:rsidRPr="00407EF3">
              <w:rPr>
                <w:sz w:val="24"/>
                <w:szCs w:val="24"/>
                <w:lang w:val="en-US"/>
              </w:rPr>
              <w:t xml:space="preserve"> the preparation </w:t>
            </w:r>
            <w:r>
              <w:rPr>
                <w:sz w:val="24"/>
                <w:szCs w:val="24"/>
                <w:lang w:val="en-US"/>
              </w:rPr>
              <w:t>to</w:t>
            </w:r>
            <w:r w:rsidRPr="00407EF3">
              <w:rPr>
                <w:sz w:val="24"/>
                <w:szCs w:val="24"/>
                <w:lang w:val="en-US"/>
              </w:rPr>
              <w:t xml:space="preserve"> the Annual General Meeting of Shareholders and the </w:t>
            </w:r>
            <w:r>
              <w:rPr>
                <w:sz w:val="24"/>
                <w:szCs w:val="24"/>
                <w:lang w:val="en-US"/>
              </w:rPr>
              <w:t>procedure of providing the information to</w:t>
            </w:r>
            <w:r w:rsidRPr="00407EF3">
              <w:rPr>
                <w:sz w:val="24"/>
                <w:szCs w:val="24"/>
                <w:lang w:val="en-US"/>
              </w:rPr>
              <w:t xml:space="preserve"> the shareholders.</w:t>
            </w:r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8. </w:t>
            </w:r>
            <w:r>
              <w:rPr>
                <w:sz w:val="24"/>
                <w:szCs w:val="24"/>
                <w:lang w:val="en-US"/>
              </w:rPr>
              <w:t>On a</w:t>
            </w:r>
            <w:r w:rsidRPr="00407EF3">
              <w:rPr>
                <w:sz w:val="24"/>
                <w:szCs w:val="24"/>
                <w:lang w:val="en-US"/>
              </w:rPr>
              <w:t>pprov</w:t>
            </w:r>
            <w:r>
              <w:rPr>
                <w:sz w:val="24"/>
                <w:szCs w:val="24"/>
                <w:lang w:val="en-US"/>
              </w:rPr>
              <w:t>ing</w:t>
            </w:r>
            <w:r w:rsidRPr="00407EF3">
              <w:rPr>
                <w:sz w:val="24"/>
                <w:szCs w:val="24"/>
                <w:lang w:val="en-US"/>
              </w:rPr>
              <w:t xml:space="preserve"> the form and content of the </w:t>
            </w:r>
            <w:r>
              <w:rPr>
                <w:sz w:val="24"/>
                <w:szCs w:val="24"/>
                <w:lang w:val="en-US"/>
              </w:rPr>
              <w:t xml:space="preserve">voting </w:t>
            </w:r>
            <w:r w:rsidRPr="00407EF3">
              <w:rPr>
                <w:sz w:val="24"/>
                <w:szCs w:val="24"/>
                <w:lang w:val="en-US"/>
              </w:rPr>
              <w:t>ballot at the Annual General Meeting of Shareholders.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9. </w:t>
            </w:r>
            <w:r>
              <w:rPr>
                <w:sz w:val="24"/>
                <w:szCs w:val="24"/>
                <w:lang w:val="en-US"/>
              </w:rPr>
              <w:t xml:space="preserve">On </w:t>
            </w:r>
            <w:r w:rsidR="0098168B">
              <w:rPr>
                <w:sz w:val="24"/>
                <w:szCs w:val="24"/>
                <w:lang w:val="en-US"/>
              </w:rPr>
              <w:t>setting</w:t>
            </w:r>
            <w:proofErr w:type="gramEnd"/>
            <w:r w:rsidRPr="00407EF3">
              <w:rPr>
                <w:sz w:val="24"/>
                <w:szCs w:val="24"/>
                <w:lang w:val="en-US"/>
              </w:rPr>
              <w:t xml:space="preserve"> the date </w:t>
            </w:r>
            <w:r w:rsidR="0098168B">
              <w:rPr>
                <w:sz w:val="24"/>
                <w:szCs w:val="24"/>
                <w:lang w:val="en-US"/>
              </w:rPr>
              <w:t>on which the voting</w:t>
            </w:r>
            <w:r w:rsidRPr="00407EF3">
              <w:rPr>
                <w:sz w:val="24"/>
                <w:szCs w:val="24"/>
                <w:lang w:val="en-US"/>
              </w:rPr>
              <w:t xml:space="preserve"> ballots </w:t>
            </w:r>
            <w:r w:rsidR="0098168B">
              <w:rPr>
                <w:sz w:val="24"/>
                <w:szCs w:val="24"/>
                <w:lang w:val="en-US"/>
              </w:rPr>
              <w:t>should be sent to</w:t>
            </w:r>
            <w:r w:rsidRPr="00407EF3">
              <w:rPr>
                <w:sz w:val="24"/>
                <w:szCs w:val="24"/>
                <w:lang w:val="en-US"/>
              </w:rPr>
              <w:t xml:space="preserve"> persons entitled to participate in the Annual General Meeting of Shareholders, </w:t>
            </w:r>
            <w:r w:rsidR="0098168B">
              <w:rPr>
                <w:sz w:val="24"/>
                <w:szCs w:val="24"/>
                <w:lang w:val="en-US"/>
              </w:rPr>
              <w:t xml:space="preserve">on specifying </w:t>
            </w:r>
            <w:r w:rsidRPr="00407EF3">
              <w:rPr>
                <w:sz w:val="24"/>
                <w:szCs w:val="24"/>
                <w:lang w:val="en-US"/>
              </w:rPr>
              <w:t xml:space="preserve">the address </w:t>
            </w:r>
            <w:r w:rsidR="0098168B">
              <w:rPr>
                <w:sz w:val="24"/>
                <w:szCs w:val="24"/>
                <w:lang w:val="en-US"/>
              </w:rPr>
              <w:t>where the filled-in</w:t>
            </w:r>
            <w:r w:rsidRPr="00407EF3">
              <w:rPr>
                <w:sz w:val="24"/>
                <w:szCs w:val="24"/>
                <w:lang w:val="en-US"/>
              </w:rPr>
              <w:t xml:space="preserve"> ballots</w:t>
            </w:r>
            <w:r w:rsidR="0098168B">
              <w:rPr>
                <w:sz w:val="24"/>
                <w:szCs w:val="24"/>
                <w:lang w:val="en-US"/>
              </w:rPr>
              <w:t xml:space="preserve"> could be sent</w:t>
            </w:r>
            <w:r w:rsidRPr="00407EF3">
              <w:rPr>
                <w:sz w:val="24"/>
                <w:szCs w:val="24"/>
                <w:lang w:val="en-US"/>
              </w:rPr>
              <w:t xml:space="preserve">, </w:t>
            </w:r>
            <w:r w:rsidR="0098168B">
              <w:rPr>
                <w:sz w:val="24"/>
                <w:szCs w:val="24"/>
                <w:lang w:val="en-US"/>
              </w:rPr>
              <w:t xml:space="preserve">and </w:t>
            </w:r>
            <w:r w:rsidRPr="00407EF3">
              <w:rPr>
                <w:sz w:val="24"/>
                <w:szCs w:val="24"/>
                <w:lang w:val="en-US"/>
              </w:rPr>
              <w:t>the deadline f</w:t>
            </w:r>
            <w:r w:rsidR="0098168B">
              <w:rPr>
                <w:sz w:val="24"/>
                <w:szCs w:val="24"/>
                <w:lang w:val="en-US"/>
              </w:rPr>
              <w:t>or receipt of filled-in ballots</w:t>
            </w:r>
            <w:r w:rsidRPr="00407EF3">
              <w:rPr>
                <w:sz w:val="24"/>
                <w:szCs w:val="24"/>
                <w:lang w:val="en-US"/>
              </w:rPr>
              <w:t>.</w:t>
            </w:r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10. On determining the </w:t>
            </w:r>
            <w:r w:rsidR="00CA36C8">
              <w:rPr>
                <w:sz w:val="24"/>
                <w:szCs w:val="24"/>
                <w:lang w:val="en-US"/>
              </w:rPr>
              <w:t>procedure of informing the</w:t>
            </w:r>
            <w:r w:rsidRPr="00407EF3">
              <w:rPr>
                <w:sz w:val="24"/>
                <w:szCs w:val="24"/>
                <w:lang w:val="en-US"/>
              </w:rPr>
              <w:t xml:space="preserve"> shareholders o</w:t>
            </w:r>
            <w:r w:rsidR="00CA36C8">
              <w:rPr>
                <w:sz w:val="24"/>
                <w:szCs w:val="24"/>
                <w:lang w:val="en-US"/>
              </w:rPr>
              <w:t>n conducting the</w:t>
            </w:r>
            <w:r w:rsidRPr="00407EF3">
              <w:rPr>
                <w:sz w:val="24"/>
                <w:szCs w:val="24"/>
                <w:lang w:val="en-US"/>
              </w:rPr>
              <w:t xml:space="preserve"> Annual General Meeting, including the approval of the form and the text.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11. </w:t>
            </w:r>
            <w:r w:rsidR="00CA36C8">
              <w:rPr>
                <w:sz w:val="24"/>
                <w:szCs w:val="24"/>
                <w:lang w:val="en-US"/>
              </w:rPr>
              <w:t>On electi</w:t>
            </w:r>
            <w:r w:rsidR="00CA36C8" w:rsidRPr="00407EF3">
              <w:rPr>
                <w:sz w:val="24"/>
                <w:szCs w:val="24"/>
                <w:lang w:val="en-US"/>
              </w:rPr>
              <w:t>n</w:t>
            </w:r>
            <w:r w:rsidR="00CA36C8">
              <w:rPr>
                <w:sz w:val="24"/>
                <w:szCs w:val="24"/>
                <w:lang w:val="en-US"/>
              </w:rPr>
              <w:t>g</w:t>
            </w:r>
            <w:r w:rsidRPr="00407EF3">
              <w:rPr>
                <w:sz w:val="24"/>
                <w:szCs w:val="24"/>
                <w:lang w:val="en-US"/>
              </w:rPr>
              <w:t xml:space="preserve"> the Secretary of the Annual General Meeting of Shareholders.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 w:rsidRPr="00407EF3">
              <w:rPr>
                <w:sz w:val="24"/>
                <w:szCs w:val="24"/>
                <w:lang w:val="en-US"/>
              </w:rPr>
              <w:t>12. On approval of cost estimates associated with the preparation and holding of the Annual General Meeting of Shareholders.</w:t>
            </w:r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13. </w:t>
            </w:r>
            <w:r w:rsidR="00CA36C8">
              <w:rPr>
                <w:sz w:val="24"/>
                <w:szCs w:val="24"/>
                <w:lang w:val="en-US"/>
              </w:rPr>
              <w:t>On a</w:t>
            </w:r>
            <w:r w:rsidRPr="00407EF3">
              <w:rPr>
                <w:sz w:val="24"/>
                <w:szCs w:val="24"/>
                <w:lang w:val="en-US"/>
              </w:rPr>
              <w:t>pprov</w:t>
            </w:r>
            <w:r w:rsidR="00CA36C8">
              <w:rPr>
                <w:sz w:val="24"/>
                <w:szCs w:val="24"/>
                <w:lang w:val="en-US"/>
              </w:rPr>
              <w:t>ing</w:t>
            </w:r>
            <w:r w:rsidRPr="00407EF3">
              <w:rPr>
                <w:sz w:val="24"/>
                <w:szCs w:val="24"/>
                <w:lang w:val="en-US"/>
              </w:rPr>
              <w:t xml:space="preserve"> the terms of the contract with the Company's registrar.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14. </w:t>
            </w:r>
            <w:r w:rsidR="00CA36C8">
              <w:rPr>
                <w:sz w:val="24"/>
                <w:szCs w:val="24"/>
                <w:lang w:val="en-US"/>
              </w:rPr>
              <w:t xml:space="preserve">On discussing </w:t>
            </w:r>
            <w:r w:rsidRPr="00407EF3">
              <w:rPr>
                <w:sz w:val="24"/>
                <w:szCs w:val="24"/>
                <w:lang w:val="en-US"/>
              </w:rPr>
              <w:t xml:space="preserve">the </w:t>
            </w:r>
            <w:r w:rsidR="00CA36C8">
              <w:rPr>
                <w:sz w:val="24"/>
                <w:szCs w:val="24"/>
                <w:lang w:val="en-US"/>
              </w:rPr>
              <w:t>restated</w:t>
            </w:r>
            <w:r w:rsidRPr="00407EF3">
              <w:rPr>
                <w:sz w:val="24"/>
                <w:szCs w:val="24"/>
                <w:lang w:val="en-US"/>
              </w:rPr>
              <w:t xml:space="preserve"> Charter.</w:t>
            </w:r>
            <w:proofErr w:type="gramEnd"/>
          </w:p>
          <w:p w:rsidR="00407EF3" w:rsidRPr="00407EF3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15. </w:t>
            </w:r>
            <w:r w:rsidR="00CA36C8">
              <w:rPr>
                <w:sz w:val="24"/>
                <w:szCs w:val="24"/>
                <w:lang w:val="en-US"/>
              </w:rPr>
              <w:t xml:space="preserve">On discussing </w:t>
            </w:r>
            <w:r w:rsidR="00CA36C8" w:rsidRPr="00407EF3">
              <w:rPr>
                <w:sz w:val="24"/>
                <w:szCs w:val="24"/>
                <w:lang w:val="en-US"/>
              </w:rPr>
              <w:t xml:space="preserve">the </w:t>
            </w:r>
            <w:r w:rsidRPr="00407EF3">
              <w:rPr>
                <w:sz w:val="24"/>
                <w:szCs w:val="24"/>
                <w:lang w:val="en-US"/>
              </w:rPr>
              <w:t>draft</w:t>
            </w:r>
            <w:r w:rsidR="00CA36C8">
              <w:rPr>
                <w:sz w:val="24"/>
                <w:szCs w:val="24"/>
                <w:lang w:val="en-US"/>
              </w:rPr>
              <w:t xml:space="preserve"> of</w:t>
            </w:r>
            <w:r w:rsidRPr="00407EF3">
              <w:rPr>
                <w:sz w:val="24"/>
                <w:szCs w:val="24"/>
                <w:lang w:val="en-US"/>
              </w:rPr>
              <w:t xml:space="preserve"> internal document: Regulations on preparation and holding of the General Meeting of Shareholders in new edition.</w:t>
            </w:r>
            <w:proofErr w:type="gramEnd"/>
          </w:p>
          <w:p w:rsidR="00BD37D6" w:rsidRDefault="00407EF3" w:rsidP="00407EF3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 w:rsidRPr="00407EF3">
              <w:rPr>
                <w:sz w:val="24"/>
                <w:szCs w:val="24"/>
                <w:lang w:val="en-US"/>
              </w:rPr>
              <w:t xml:space="preserve">16. </w:t>
            </w:r>
            <w:r w:rsidR="00CA36C8">
              <w:rPr>
                <w:sz w:val="24"/>
                <w:szCs w:val="24"/>
                <w:lang w:val="en-US"/>
              </w:rPr>
              <w:t xml:space="preserve">On discussing </w:t>
            </w:r>
            <w:r w:rsidR="00CA36C8" w:rsidRPr="00407EF3">
              <w:rPr>
                <w:sz w:val="24"/>
                <w:szCs w:val="24"/>
                <w:lang w:val="en-US"/>
              </w:rPr>
              <w:t>the draft</w:t>
            </w:r>
            <w:r w:rsidR="00CA36C8">
              <w:rPr>
                <w:sz w:val="24"/>
                <w:szCs w:val="24"/>
                <w:lang w:val="en-US"/>
              </w:rPr>
              <w:t xml:space="preserve"> of</w:t>
            </w:r>
            <w:r w:rsidR="00CA36C8" w:rsidRPr="00407EF3">
              <w:rPr>
                <w:sz w:val="24"/>
                <w:szCs w:val="24"/>
                <w:lang w:val="en-US"/>
              </w:rPr>
              <w:t xml:space="preserve"> internal document</w:t>
            </w:r>
            <w:r w:rsidRPr="00407EF3">
              <w:rPr>
                <w:sz w:val="24"/>
                <w:szCs w:val="24"/>
                <w:lang w:val="en-US"/>
              </w:rPr>
              <w:t xml:space="preserve">: Regulations on the Audit Committee of the Company </w:t>
            </w:r>
            <w:r w:rsidR="00CA36C8" w:rsidRPr="00407EF3">
              <w:rPr>
                <w:sz w:val="24"/>
                <w:szCs w:val="24"/>
                <w:lang w:val="en-US"/>
              </w:rPr>
              <w:t>in new edition</w:t>
            </w:r>
            <w:r w:rsidRPr="00407EF3">
              <w:rPr>
                <w:sz w:val="24"/>
                <w:szCs w:val="24"/>
                <w:lang w:val="en-US"/>
              </w:rPr>
              <w:t>.</w:t>
            </w:r>
            <w:proofErr w:type="gramEnd"/>
          </w:p>
          <w:p w:rsidR="007A12B2" w:rsidRPr="000C3D76" w:rsidRDefault="001A2F2E" w:rsidP="007A12B2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  <w:r w:rsidR="00294C8E" w:rsidRPr="000C3D76">
              <w:rPr>
                <w:sz w:val="24"/>
                <w:szCs w:val="24"/>
                <w:lang w:val="en-US"/>
              </w:rPr>
              <w:t xml:space="preserve">. </w:t>
            </w:r>
            <w:r w:rsidR="007A12B2" w:rsidRPr="000C3D76">
              <w:rPr>
                <w:sz w:val="24"/>
                <w:szCs w:val="24"/>
                <w:lang w:val="en-US"/>
              </w:rPr>
              <w:t xml:space="preserve">On </w:t>
            </w:r>
            <w:r w:rsidR="000C3D76" w:rsidRPr="000C3D76">
              <w:rPr>
                <w:sz w:val="24"/>
                <w:szCs w:val="24"/>
                <w:lang w:val="en-US"/>
              </w:rPr>
              <w:t>priority activities of Kubanenergo JSC: on reasonability of using “Recommendations on handling the rights on the results of intellectual property in organizations”</w:t>
            </w:r>
          </w:p>
          <w:p w:rsidR="00E94BB9" w:rsidRPr="00294C8E" w:rsidRDefault="001A2F2E" w:rsidP="00E94BB9">
            <w:pPr>
              <w:autoSpaceDE/>
              <w:autoSpaceDN/>
              <w:jc w:val="both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18</w:t>
            </w:r>
            <w:r w:rsidR="00294C8E" w:rsidRPr="000C3D76">
              <w:rPr>
                <w:sz w:val="24"/>
                <w:szCs w:val="24"/>
                <w:lang w:val="en-US"/>
              </w:rPr>
              <w:t xml:space="preserve">. On fixing </w:t>
            </w:r>
            <w:r w:rsidR="000C3D76" w:rsidRPr="000C3D76">
              <w:rPr>
                <w:sz w:val="24"/>
                <w:szCs w:val="24"/>
                <w:lang w:val="en-US"/>
              </w:rPr>
              <w:t>the payment for Auditor’s services</w:t>
            </w:r>
            <w:r w:rsidR="00294C8E" w:rsidRPr="000C3D76">
              <w:rPr>
                <w:sz w:val="24"/>
                <w:szCs w:val="24"/>
                <w:lang w:val="en-US"/>
              </w:rPr>
              <w:t>.</w:t>
            </w:r>
            <w:proofErr w:type="gramEnd"/>
          </w:p>
        </w:tc>
      </w:tr>
      <w:tr w:rsidR="000C52E9" w:rsidRPr="00294C8E" w:rsidTr="00CA36C8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0C52E9" w:rsidRPr="00294C8E" w:rsidTr="00CA36C8">
        <w:trPr>
          <w:cantSplit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ind w:left="57"/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 xml:space="preserve">3.1 </w:t>
            </w:r>
            <w:r w:rsidR="00294C8E" w:rsidRPr="00294C8E">
              <w:rPr>
                <w:sz w:val="24"/>
                <w:szCs w:val="24"/>
                <w:lang w:val="en-US" w:eastAsia="en-US"/>
              </w:rPr>
              <w:t>Acting d</w:t>
            </w:r>
            <w:r w:rsidRPr="00294C8E">
              <w:rPr>
                <w:sz w:val="24"/>
                <w:szCs w:val="24"/>
                <w:lang w:val="en-US" w:eastAsia="en-US"/>
              </w:rPr>
              <w:t xml:space="preserve">eputy director general in charge of corporate management (attorney dated </w:t>
            </w:r>
            <w:r w:rsidR="00294C8E" w:rsidRPr="00294C8E">
              <w:rPr>
                <w:sz w:val="24"/>
                <w:szCs w:val="24"/>
                <w:lang w:val="en-US" w:eastAsia="en-US"/>
              </w:rPr>
              <w:t>02.04.2014</w:t>
            </w:r>
            <w:r w:rsidRPr="00294C8E">
              <w:rPr>
                <w:sz w:val="24"/>
                <w:szCs w:val="24"/>
                <w:lang w:val="en-US" w:eastAsia="en-US"/>
              </w:rPr>
              <w:t>)</w:t>
            </w:r>
          </w:p>
          <w:p w:rsidR="000C52E9" w:rsidRPr="00294C8E" w:rsidRDefault="000C52E9" w:rsidP="00F26393">
            <w:pPr>
              <w:ind w:left="57"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C52E9" w:rsidRPr="00294C8E" w:rsidRDefault="00294C8E" w:rsidP="00F26393">
            <w:pPr>
              <w:ind w:right="-315"/>
              <w:rPr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</w:tr>
      <w:tr w:rsidR="000C52E9" w:rsidRPr="00294C8E" w:rsidTr="00CA36C8">
        <w:trPr>
          <w:cantSplit/>
        </w:trPr>
        <w:tc>
          <w:tcPr>
            <w:tcW w:w="6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C52E9" w:rsidRPr="00294C8E" w:rsidRDefault="000C52E9" w:rsidP="00F26393">
            <w:pPr>
              <w:autoSpaceDE/>
              <w:autoSpaceDN/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</w:tr>
      <w:tr w:rsidR="000C52E9" w:rsidRPr="00294C8E" w:rsidTr="00CA36C8">
        <w:trPr>
          <w:cantSplit/>
        </w:trPr>
        <w:tc>
          <w:tcPr>
            <w:tcW w:w="60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C52E9" w:rsidRPr="00294C8E" w:rsidRDefault="000C52E9" w:rsidP="001A2F2E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294C8E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0C3D76">
              <w:rPr>
                <w:sz w:val="24"/>
                <w:szCs w:val="24"/>
                <w:lang w:val="en-US"/>
              </w:rPr>
              <w:t>2</w:t>
            </w:r>
            <w:r w:rsidR="001A2F2E">
              <w:rPr>
                <w:sz w:val="24"/>
                <w:szCs w:val="24"/>
                <w:lang w:val="en-US"/>
              </w:rPr>
              <w:t>4</w:t>
            </w:r>
            <w:r w:rsidR="00294C8E" w:rsidRPr="00294C8E">
              <w:rPr>
                <w:sz w:val="24"/>
                <w:szCs w:val="24"/>
                <w:lang w:val="en-US"/>
              </w:rPr>
              <w:t xml:space="preserve"> April</w:t>
            </w:r>
            <w:r w:rsidRPr="00294C8E">
              <w:rPr>
                <w:sz w:val="24"/>
                <w:szCs w:val="24"/>
                <w:lang w:val="en-US"/>
              </w:rPr>
              <w:t xml:space="preserve"> 2014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C52E9" w:rsidRPr="00294C8E" w:rsidRDefault="000C52E9" w:rsidP="00F26393">
            <w:pPr>
              <w:rPr>
                <w:sz w:val="24"/>
                <w:szCs w:val="24"/>
              </w:rPr>
            </w:pPr>
          </w:p>
        </w:tc>
      </w:tr>
      <w:tr w:rsidR="000C52E9" w:rsidRPr="00294C8E" w:rsidTr="00CA36C8">
        <w:trPr>
          <w:cantSplit/>
        </w:trPr>
        <w:tc>
          <w:tcPr>
            <w:tcW w:w="6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C52E9" w:rsidRPr="00294C8E" w:rsidRDefault="000C52E9" w:rsidP="00F26393">
            <w:pPr>
              <w:jc w:val="center"/>
              <w:rPr>
                <w:sz w:val="24"/>
                <w:szCs w:val="24"/>
              </w:rPr>
            </w:pPr>
            <w:r w:rsidRPr="00294C8E">
              <w:rPr>
                <w:sz w:val="24"/>
                <w:szCs w:val="24"/>
                <w:lang w:val="en-US"/>
              </w:rPr>
              <w:t xml:space="preserve">stamp </w:t>
            </w:r>
          </w:p>
        </w:tc>
        <w:tc>
          <w:tcPr>
            <w:tcW w:w="28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C52E9" w:rsidRPr="00294C8E" w:rsidRDefault="000C52E9" w:rsidP="00F26393">
            <w:pPr>
              <w:rPr>
                <w:sz w:val="24"/>
                <w:szCs w:val="24"/>
              </w:rPr>
            </w:pPr>
          </w:p>
        </w:tc>
      </w:tr>
    </w:tbl>
    <w:p w:rsidR="000C52E9" w:rsidRPr="00CA36C8" w:rsidRDefault="000C52E9" w:rsidP="000C52E9">
      <w:pPr>
        <w:rPr>
          <w:sz w:val="24"/>
          <w:szCs w:val="24"/>
          <w:lang w:val="en-US"/>
        </w:rPr>
      </w:pPr>
      <w:bookmarkStart w:id="0" w:name="_GoBack"/>
      <w:bookmarkEnd w:id="0"/>
    </w:p>
    <w:sectPr w:rsidR="000C52E9" w:rsidRPr="00CA36C8" w:rsidSect="00CA36C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E9"/>
    <w:rsid w:val="000C3D76"/>
    <w:rsid w:val="000C52E9"/>
    <w:rsid w:val="00106159"/>
    <w:rsid w:val="00152C32"/>
    <w:rsid w:val="0018503D"/>
    <w:rsid w:val="001A2F2E"/>
    <w:rsid w:val="001D34E3"/>
    <w:rsid w:val="00222072"/>
    <w:rsid w:val="00241872"/>
    <w:rsid w:val="00294C8E"/>
    <w:rsid w:val="00316AA3"/>
    <w:rsid w:val="003B39A5"/>
    <w:rsid w:val="00407EF3"/>
    <w:rsid w:val="006E2E66"/>
    <w:rsid w:val="00701BB4"/>
    <w:rsid w:val="007A12B2"/>
    <w:rsid w:val="00803ADA"/>
    <w:rsid w:val="00871CFD"/>
    <w:rsid w:val="0098168B"/>
    <w:rsid w:val="009E240E"/>
    <w:rsid w:val="00A41433"/>
    <w:rsid w:val="00AC467A"/>
    <w:rsid w:val="00B14DD4"/>
    <w:rsid w:val="00BD37D6"/>
    <w:rsid w:val="00CA36C8"/>
    <w:rsid w:val="00D027FB"/>
    <w:rsid w:val="00D76B98"/>
    <w:rsid w:val="00D84B15"/>
    <w:rsid w:val="00E152F1"/>
    <w:rsid w:val="00E94BB9"/>
    <w:rsid w:val="00F16420"/>
    <w:rsid w:val="00F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2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C5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C5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2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0C52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0C5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29</cp:revision>
  <dcterms:created xsi:type="dcterms:W3CDTF">2014-03-03T13:53:00Z</dcterms:created>
  <dcterms:modified xsi:type="dcterms:W3CDTF">2014-04-28T23:46:00Z</dcterms:modified>
</cp:coreProperties>
</file>