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DFA" w:rsidRPr="003D1138" w:rsidRDefault="00335DFA" w:rsidP="00335DFA">
      <w:pPr>
        <w:pStyle w:val="a3"/>
        <w:jc w:val="center"/>
        <w:rPr>
          <w:rFonts w:ascii="Times New Roman" w:hAnsi="Times New Roman" w:cs="Times New Roman"/>
          <w:b/>
          <w:bCs/>
          <w:sz w:val="24"/>
          <w:szCs w:val="24"/>
          <w:lang w:val="en-US"/>
        </w:rPr>
      </w:pPr>
      <w:r w:rsidRPr="003D1138">
        <w:rPr>
          <w:rFonts w:ascii="Times New Roman" w:hAnsi="Times New Roman" w:cs="Times New Roman"/>
          <w:b/>
          <w:bCs/>
          <w:sz w:val="24"/>
          <w:szCs w:val="24"/>
          <w:lang w:val="en-US"/>
        </w:rPr>
        <w:t>Corporate action statement on refutation or correction of information previously published in news</w:t>
      </w:r>
    </w:p>
    <w:p w:rsidR="00335DFA" w:rsidRPr="003D1138" w:rsidRDefault="00335DFA" w:rsidP="00335DFA">
      <w:pPr>
        <w:pStyle w:val="a3"/>
        <w:spacing w:before="60"/>
        <w:jc w:val="both"/>
        <w:rPr>
          <w:rFonts w:ascii="Times New Roman" w:hAnsi="Times New Roman" w:cs="Times New Roman"/>
          <w:sz w:val="24"/>
          <w:szCs w:val="24"/>
          <w:lang w:val="en-US"/>
        </w:rPr>
      </w:pPr>
      <w:r w:rsidRPr="003D1138">
        <w:rPr>
          <w:rFonts w:ascii="Times New Roman" w:hAnsi="Times New Roman" w:cs="Times New Roman"/>
          <w:sz w:val="24"/>
          <w:szCs w:val="24"/>
          <w:lang w:val="en-US"/>
        </w:rPr>
        <w:t xml:space="preserve">Open joint stock company of power industry and electrification of Kuban informs that </w:t>
      </w:r>
      <w:r w:rsidRPr="003D1138">
        <w:rPr>
          <w:rFonts w:ascii="Times New Roman" w:hAnsi="Times New Roman" w:cs="Times New Roman"/>
          <w:bCs/>
          <w:sz w:val="24"/>
          <w:szCs w:val="24"/>
          <w:lang w:val="en-US"/>
        </w:rPr>
        <w:t>corporate action statement</w:t>
      </w:r>
      <w:r w:rsidRPr="003D1138">
        <w:rPr>
          <w:rFonts w:ascii="Times New Roman" w:hAnsi="Times New Roman" w:cs="Times New Roman"/>
          <w:sz w:val="24"/>
          <w:szCs w:val="24"/>
          <w:lang w:val="en-US"/>
        </w:rPr>
        <w:t xml:space="preserve"> published at Interfax news (</w:t>
      </w:r>
      <w:r>
        <w:rPr>
          <w:rFonts w:ascii="Times New Roman" w:hAnsi="Times New Roman" w:cs="Times New Roman"/>
          <w:b/>
          <w:sz w:val="24"/>
          <w:szCs w:val="24"/>
          <w:lang w:val="en-US"/>
        </w:rPr>
        <w:t>15</w:t>
      </w:r>
      <w:r w:rsidRPr="003D1138">
        <w:rPr>
          <w:rFonts w:ascii="Times New Roman" w:hAnsi="Times New Roman" w:cs="Times New Roman"/>
          <w:b/>
          <w:sz w:val="24"/>
          <w:szCs w:val="24"/>
          <w:lang w:val="en-US"/>
        </w:rPr>
        <w:t>.09.2014 at 09:</w:t>
      </w:r>
      <w:r>
        <w:rPr>
          <w:rFonts w:ascii="Times New Roman" w:hAnsi="Times New Roman" w:cs="Times New Roman"/>
          <w:b/>
          <w:sz w:val="24"/>
          <w:szCs w:val="24"/>
          <w:lang w:val="en-US"/>
        </w:rPr>
        <w:t>32</w:t>
      </w:r>
      <w:r w:rsidRPr="003D1138">
        <w:rPr>
          <w:rFonts w:ascii="Times New Roman" w:hAnsi="Times New Roman" w:cs="Times New Roman"/>
          <w:sz w:val="24"/>
          <w:szCs w:val="24"/>
          <w:lang w:val="en-US"/>
        </w:rPr>
        <w:t xml:space="preserve">) </w:t>
      </w:r>
      <w:r>
        <w:rPr>
          <w:rFonts w:ascii="Times New Roman" w:hAnsi="Times New Roman" w:cs="Times New Roman"/>
          <w:bCs/>
          <w:sz w:val="24"/>
          <w:szCs w:val="24"/>
          <w:lang w:val="en-US"/>
        </w:rPr>
        <w:t xml:space="preserve"> </w:t>
      </w:r>
      <w:r w:rsidRPr="00335DFA">
        <w:rPr>
          <w:rFonts w:ascii="Times New Roman" w:hAnsi="Times New Roman" w:cs="Times New Roman"/>
          <w:bCs/>
          <w:sz w:val="24"/>
          <w:szCs w:val="24"/>
          <w:lang w:val="en-US"/>
        </w:rPr>
        <w:t>“On decisions adopted by the Issuer’s Board of Directors”</w:t>
      </w:r>
      <w:r>
        <w:rPr>
          <w:rFonts w:ascii="Times New Roman" w:hAnsi="Times New Roman" w:cs="Times New Roman"/>
          <w:bCs/>
          <w:sz w:val="24"/>
          <w:szCs w:val="24"/>
          <w:lang w:val="en-US"/>
        </w:rPr>
        <w:t xml:space="preserve"> </w:t>
      </w:r>
      <w:r w:rsidRPr="00335DFA">
        <w:rPr>
          <w:rFonts w:ascii="Times New Roman" w:hAnsi="Times New Roman" w:cs="Times New Roman"/>
          <w:bCs/>
          <w:sz w:val="24"/>
          <w:szCs w:val="24"/>
          <w:lang w:val="en-US"/>
        </w:rPr>
        <w:t>(disclosure of inside information)</w:t>
      </w:r>
      <w:r>
        <w:rPr>
          <w:rFonts w:ascii="Times New Roman" w:hAnsi="Times New Roman" w:cs="Times New Roman"/>
          <w:bCs/>
          <w:sz w:val="24"/>
          <w:szCs w:val="24"/>
          <w:lang w:val="en-US"/>
        </w:rPr>
        <w:t xml:space="preserve"> </w:t>
      </w:r>
      <w:r w:rsidRPr="003D1138">
        <w:rPr>
          <w:rFonts w:ascii="Times New Roman" w:hAnsi="Times New Roman" w:cs="Times New Roman"/>
          <w:sz w:val="24"/>
          <w:szCs w:val="24"/>
          <w:lang w:val="en-US"/>
        </w:rPr>
        <w:t>contained a technical error in paragraph 2.1. Below is the correct variant of the statement:</w:t>
      </w:r>
    </w:p>
    <w:p w:rsidR="00335DFA" w:rsidRDefault="00335DFA" w:rsidP="009E6828">
      <w:pPr>
        <w:pStyle w:val="a3"/>
        <w:spacing w:before="60"/>
        <w:jc w:val="center"/>
        <w:rPr>
          <w:rFonts w:ascii="Times New Roman" w:hAnsi="Times New Roman" w:cs="Times New Roman"/>
          <w:b/>
          <w:bCs/>
          <w:sz w:val="24"/>
          <w:szCs w:val="24"/>
          <w:lang w:val="en-US"/>
        </w:rPr>
      </w:pPr>
    </w:p>
    <w:p w:rsidR="00092812" w:rsidRPr="0099612B" w:rsidRDefault="00092812" w:rsidP="009E6828">
      <w:pPr>
        <w:pStyle w:val="a3"/>
        <w:spacing w:before="60"/>
        <w:jc w:val="center"/>
        <w:rPr>
          <w:rFonts w:ascii="Times New Roman" w:hAnsi="Times New Roman" w:cs="Times New Roman"/>
          <w:b/>
          <w:bCs/>
          <w:sz w:val="24"/>
          <w:szCs w:val="24"/>
          <w:lang w:val="en-US"/>
        </w:rPr>
      </w:pPr>
      <w:r w:rsidRPr="0099612B">
        <w:rPr>
          <w:rFonts w:ascii="Times New Roman" w:hAnsi="Times New Roman" w:cs="Times New Roman"/>
          <w:b/>
          <w:bCs/>
          <w:sz w:val="24"/>
          <w:szCs w:val="24"/>
          <w:lang w:val="en-US"/>
        </w:rPr>
        <w:t xml:space="preserve">Corporate action statement </w:t>
      </w:r>
    </w:p>
    <w:p w:rsidR="00092812" w:rsidRPr="0099612B" w:rsidRDefault="00092812" w:rsidP="009E6828">
      <w:pPr>
        <w:pStyle w:val="a3"/>
        <w:spacing w:before="60"/>
        <w:jc w:val="center"/>
        <w:rPr>
          <w:rFonts w:ascii="Times New Roman" w:hAnsi="Times New Roman" w:cs="Times New Roman"/>
          <w:b/>
          <w:bCs/>
          <w:sz w:val="24"/>
          <w:szCs w:val="24"/>
          <w:lang w:val="en-US"/>
        </w:rPr>
      </w:pPr>
      <w:r w:rsidRPr="0099612B">
        <w:rPr>
          <w:rFonts w:ascii="Times New Roman" w:hAnsi="Times New Roman" w:cs="Times New Roman"/>
          <w:b/>
          <w:bCs/>
          <w:sz w:val="24"/>
          <w:szCs w:val="24"/>
          <w:lang w:val="en-US"/>
        </w:rPr>
        <w:t>“On decisions adopted by the Issuer’s Board of Directors”</w:t>
      </w:r>
    </w:p>
    <w:p w:rsidR="00092812" w:rsidRPr="0099612B" w:rsidRDefault="00092812" w:rsidP="009E6828">
      <w:pPr>
        <w:pStyle w:val="a3"/>
        <w:spacing w:before="60"/>
        <w:jc w:val="center"/>
        <w:rPr>
          <w:rFonts w:ascii="Times New Roman" w:hAnsi="Times New Roman" w:cs="Times New Roman"/>
          <w:bCs/>
          <w:sz w:val="24"/>
          <w:szCs w:val="24"/>
          <w:lang w:val="en-US"/>
        </w:rPr>
      </w:pPr>
      <w:r w:rsidRPr="0099612B">
        <w:rPr>
          <w:rFonts w:ascii="Times New Roman" w:hAnsi="Times New Roman" w:cs="Times New Roman"/>
          <w:b/>
          <w:bCs/>
          <w:sz w:val="24"/>
          <w:szCs w:val="24"/>
          <w:lang w:val="en-US"/>
        </w:rPr>
        <w:t>(</w:t>
      </w:r>
      <w:proofErr w:type="gramStart"/>
      <w:r w:rsidRPr="0099612B">
        <w:rPr>
          <w:rFonts w:ascii="Times New Roman" w:hAnsi="Times New Roman" w:cs="Times New Roman"/>
          <w:b/>
          <w:bCs/>
          <w:sz w:val="24"/>
          <w:szCs w:val="24"/>
          <w:lang w:val="en-US"/>
        </w:rPr>
        <w:t>disclosure</w:t>
      </w:r>
      <w:proofErr w:type="gramEnd"/>
      <w:r w:rsidRPr="0099612B">
        <w:rPr>
          <w:rFonts w:ascii="Times New Roman" w:hAnsi="Times New Roman" w:cs="Times New Roman"/>
          <w:b/>
          <w:bCs/>
          <w:sz w:val="24"/>
          <w:szCs w:val="24"/>
          <w:lang w:val="en-US"/>
        </w:rPr>
        <w:t xml:space="preserve"> of inside information)</w:t>
      </w:r>
    </w:p>
    <w:tbl>
      <w:tblPr>
        <w:tblStyle w:val="a4"/>
        <w:tblW w:w="9782" w:type="dxa"/>
        <w:tblInd w:w="-176" w:type="dxa"/>
        <w:tblLook w:val="04A0" w:firstRow="1" w:lastRow="0" w:firstColumn="1" w:lastColumn="0" w:noHBand="0" w:noVBand="1"/>
      </w:tblPr>
      <w:tblGrid>
        <w:gridCol w:w="3828"/>
        <w:gridCol w:w="5954"/>
      </w:tblGrid>
      <w:tr w:rsidR="00092812" w:rsidRPr="0099612B" w:rsidTr="008B313B">
        <w:tc>
          <w:tcPr>
            <w:tcW w:w="9782" w:type="dxa"/>
            <w:gridSpan w:val="2"/>
          </w:tcPr>
          <w:p w:rsidR="00092812" w:rsidRPr="0099612B" w:rsidRDefault="00092812" w:rsidP="009E6828">
            <w:pPr>
              <w:pStyle w:val="a3"/>
              <w:numPr>
                <w:ilvl w:val="0"/>
                <w:numId w:val="1"/>
              </w:numPr>
              <w:spacing w:before="60"/>
              <w:jc w:val="center"/>
              <w:rPr>
                <w:rFonts w:ascii="Times New Roman" w:hAnsi="Times New Roman" w:cs="Times New Roman"/>
                <w:sz w:val="24"/>
                <w:szCs w:val="24"/>
              </w:rPr>
            </w:pPr>
            <w:r w:rsidRPr="0099612B">
              <w:rPr>
                <w:rFonts w:ascii="Times New Roman" w:hAnsi="Times New Roman" w:cs="Times New Roman"/>
                <w:sz w:val="24"/>
                <w:szCs w:val="24"/>
                <w:lang w:val="en-US"/>
              </w:rPr>
              <w:t>General data</w:t>
            </w:r>
          </w:p>
        </w:tc>
      </w:tr>
      <w:tr w:rsidR="00092812" w:rsidRPr="00335DFA" w:rsidTr="008B313B">
        <w:trPr>
          <w:trHeight w:val="599"/>
        </w:trPr>
        <w:tc>
          <w:tcPr>
            <w:tcW w:w="3828" w:type="dxa"/>
          </w:tcPr>
          <w:p w:rsidR="00092812" w:rsidRPr="0099612B" w:rsidRDefault="00092812" w:rsidP="008B313B">
            <w:pPr>
              <w:pStyle w:val="a3"/>
              <w:rPr>
                <w:rFonts w:ascii="Times New Roman" w:hAnsi="Times New Roman" w:cs="Times New Roman"/>
                <w:sz w:val="24"/>
                <w:szCs w:val="24"/>
              </w:rPr>
            </w:pPr>
            <w:r w:rsidRPr="0099612B">
              <w:rPr>
                <w:rFonts w:ascii="Times New Roman" w:hAnsi="Times New Roman" w:cs="Times New Roman"/>
                <w:sz w:val="24"/>
                <w:szCs w:val="24"/>
              </w:rPr>
              <w:t xml:space="preserve">1.1  </w:t>
            </w:r>
            <w:r w:rsidRPr="0099612B">
              <w:rPr>
                <w:rFonts w:ascii="Times New Roman" w:hAnsi="Times New Roman" w:cs="Times New Roman"/>
                <w:sz w:val="24"/>
                <w:szCs w:val="24"/>
                <w:lang w:val="en-US"/>
              </w:rPr>
              <w:t>Issuer</w:t>
            </w:r>
            <w:r w:rsidRPr="0099612B">
              <w:rPr>
                <w:rFonts w:ascii="Times New Roman" w:hAnsi="Times New Roman" w:cs="Times New Roman"/>
                <w:sz w:val="24"/>
                <w:szCs w:val="24"/>
              </w:rPr>
              <w:t>’</w:t>
            </w:r>
            <w:r w:rsidRPr="0099612B">
              <w:rPr>
                <w:rFonts w:ascii="Times New Roman" w:hAnsi="Times New Roman" w:cs="Times New Roman"/>
                <w:sz w:val="24"/>
                <w:szCs w:val="24"/>
                <w:lang w:val="en-US"/>
              </w:rPr>
              <w:t>s full name</w:t>
            </w:r>
          </w:p>
        </w:tc>
        <w:tc>
          <w:tcPr>
            <w:tcW w:w="5954" w:type="dxa"/>
          </w:tcPr>
          <w:p w:rsidR="00092812" w:rsidRPr="0099612B" w:rsidRDefault="00092812" w:rsidP="008B313B">
            <w:pPr>
              <w:pStyle w:val="a3"/>
              <w:rPr>
                <w:rFonts w:ascii="Times New Roman" w:hAnsi="Times New Roman" w:cs="Times New Roman"/>
                <w:sz w:val="24"/>
                <w:szCs w:val="24"/>
                <w:lang w:val="en-US"/>
              </w:rPr>
            </w:pPr>
            <w:r w:rsidRPr="0099612B">
              <w:rPr>
                <w:rFonts w:ascii="Times New Roman" w:hAnsi="Times New Roman" w:cs="Times New Roman"/>
                <w:sz w:val="24"/>
                <w:szCs w:val="24"/>
                <w:lang w:val="en-US"/>
              </w:rPr>
              <w:t>Open joint-stock company of Power and Electrification of Kuban</w:t>
            </w:r>
          </w:p>
        </w:tc>
      </w:tr>
      <w:tr w:rsidR="00092812" w:rsidRPr="0099612B" w:rsidTr="008B313B">
        <w:tc>
          <w:tcPr>
            <w:tcW w:w="3828" w:type="dxa"/>
          </w:tcPr>
          <w:p w:rsidR="00092812" w:rsidRPr="0099612B" w:rsidRDefault="00092812" w:rsidP="008B313B">
            <w:pPr>
              <w:pStyle w:val="a3"/>
              <w:rPr>
                <w:rFonts w:ascii="Times New Roman" w:hAnsi="Times New Roman" w:cs="Times New Roman"/>
                <w:sz w:val="24"/>
                <w:szCs w:val="24"/>
              </w:rPr>
            </w:pPr>
            <w:r w:rsidRPr="0099612B">
              <w:rPr>
                <w:rFonts w:ascii="Times New Roman" w:hAnsi="Times New Roman" w:cs="Times New Roman"/>
                <w:sz w:val="24"/>
                <w:szCs w:val="24"/>
              </w:rPr>
              <w:t xml:space="preserve">1.2. </w:t>
            </w:r>
            <w:r w:rsidRPr="0099612B">
              <w:rPr>
                <w:rFonts w:ascii="Times New Roman" w:hAnsi="Times New Roman" w:cs="Times New Roman"/>
                <w:sz w:val="24"/>
                <w:szCs w:val="24"/>
                <w:lang w:val="en-US"/>
              </w:rPr>
              <w:t>Issuer</w:t>
            </w:r>
            <w:r w:rsidRPr="0099612B">
              <w:rPr>
                <w:rFonts w:ascii="Times New Roman" w:hAnsi="Times New Roman" w:cs="Times New Roman"/>
                <w:sz w:val="24"/>
                <w:szCs w:val="24"/>
              </w:rPr>
              <w:t>’</w:t>
            </w:r>
            <w:r w:rsidRPr="0099612B">
              <w:rPr>
                <w:rFonts w:ascii="Times New Roman" w:hAnsi="Times New Roman" w:cs="Times New Roman"/>
                <w:sz w:val="24"/>
                <w:szCs w:val="24"/>
                <w:lang w:val="en-US"/>
              </w:rPr>
              <w:t>s short name</w:t>
            </w:r>
          </w:p>
        </w:tc>
        <w:tc>
          <w:tcPr>
            <w:tcW w:w="5954" w:type="dxa"/>
          </w:tcPr>
          <w:p w:rsidR="00092812" w:rsidRPr="0099612B" w:rsidRDefault="00092812" w:rsidP="008B313B">
            <w:pPr>
              <w:pStyle w:val="a3"/>
              <w:rPr>
                <w:rFonts w:ascii="Times New Roman" w:hAnsi="Times New Roman" w:cs="Times New Roman"/>
                <w:sz w:val="24"/>
                <w:szCs w:val="24"/>
              </w:rPr>
            </w:pPr>
            <w:r w:rsidRPr="0099612B">
              <w:rPr>
                <w:rFonts w:ascii="Times New Roman" w:hAnsi="Times New Roman" w:cs="Times New Roman"/>
                <w:sz w:val="24"/>
                <w:szCs w:val="24"/>
                <w:lang w:val="en-US"/>
              </w:rPr>
              <w:t>“Kubanenergo”, JSC</w:t>
            </w:r>
          </w:p>
        </w:tc>
      </w:tr>
      <w:tr w:rsidR="00092812" w:rsidRPr="00335DFA" w:rsidTr="008B313B">
        <w:tc>
          <w:tcPr>
            <w:tcW w:w="3828" w:type="dxa"/>
          </w:tcPr>
          <w:p w:rsidR="00092812" w:rsidRPr="0099612B" w:rsidRDefault="00092812" w:rsidP="008B313B">
            <w:pPr>
              <w:pStyle w:val="a3"/>
              <w:rPr>
                <w:rFonts w:ascii="Times New Roman" w:hAnsi="Times New Roman" w:cs="Times New Roman"/>
                <w:sz w:val="24"/>
                <w:szCs w:val="24"/>
                <w:lang w:val="en-US"/>
              </w:rPr>
            </w:pPr>
            <w:r w:rsidRPr="0099612B">
              <w:rPr>
                <w:rFonts w:ascii="Times New Roman" w:hAnsi="Times New Roman" w:cs="Times New Roman"/>
                <w:sz w:val="24"/>
                <w:szCs w:val="24"/>
              </w:rPr>
              <w:t xml:space="preserve">1.3. </w:t>
            </w:r>
            <w:r w:rsidRPr="0099612B">
              <w:rPr>
                <w:rFonts w:ascii="Times New Roman" w:hAnsi="Times New Roman" w:cs="Times New Roman"/>
                <w:sz w:val="24"/>
                <w:szCs w:val="24"/>
                <w:lang w:val="en-US"/>
              </w:rPr>
              <w:t>Issuer’s location</w:t>
            </w:r>
          </w:p>
        </w:tc>
        <w:tc>
          <w:tcPr>
            <w:tcW w:w="5954" w:type="dxa"/>
          </w:tcPr>
          <w:p w:rsidR="00092812" w:rsidRPr="0099612B" w:rsidRDefault="00092812" w:rsidP="008B313B">
            <w:pPr>
              <w:rPr>
                <w:lang w:val="en-US" w:eastAsia="en-US"/>
              </w:rPr>
            </w:pPr>
            <w:r w:rsidRPr="0099612B">
              <w:rPr>
                <w:lang w:val="en-US" w:eastAsia="en-US"/>
              </w:rPr>
              <w:t>2, Stavropolskaya str., Krasnodar, Russian federation, 350033</w:t>
            </w:r>
          </w:p>
        </w:tc>
      </w:tr>
      <w:tr w:rsidR="00092812" w:rsidRPr="0099612B" w:rsidTr="008B313B">
        <w:tc>
          <w:tcPr>
            <w:tcW w:w="3828" w:type="dxa"/>
          </w:tcPr>
          <w:p w:rsidR="00092812" w:rsidRPr="0099612B" w:rsidRDefault="00092812" w:rsidP="008B313B">
            <w:pPr>
              <w:pStyle w:val="a3"/>
              <w:rPr>
                <w:rFonts w:ascii="Times New Roman" w:hAnsi="Times New Roman" w:cs="Times New Roman"/>
                <w:sz w:val="24"/>
                <w:szCs w:val="24"/>
                <w:lang w:val="en-US"/>
              </w:rPr>
            </w:pPr>
            <w:r w:rsidRPr="0099612B">
              <w:rPr>
                <w:rFonts w:ascii="Times New Roman" w:hAnsi="Times New Roman" w:cs="Times New Roman"/>
                <w:sz w:val="24"/>
                <w:szCs w:val="24"/>
              </w:rPr>
              <w:t xml:space="preserve">1.4. </w:t>
            </w:r>
            <w:r w:rsidRPr="0099612B">
              <w:rPr>
                <w:rFonts w:ascii="Times New Roman" w:hAnsi="Times New Roman" w:cs="Times New Roman"/>
                <w:sz w:val="24"/>
                <w:szCs w:val="24"/>
                <w:lang w:val="en-US"/>
              </w:rPr>
              <w:t>Issuer’s PSRN</w:t>
            </w:r>
          </w:p>
        </w:tc>
        <w:tc>
          <w:tcPr>
            <w:tcW w:w="5954" w:type="dxa"/>
          </w:tcPr>
          <w:p w:rsidR="00092812" w:rsidRPr="0099612B" w:rsidRDefault="00092812" w:rsidP="008B313B">
            <w:pPr>
              <w:pStyle w:val="a3"/>
              <w:rPr>
                <w:rFonts w:ascii="Times New Roman" w:hAnsi="Times New Roman" w:cs="Times New Roman"/>
                <w:sz w:val="24"/>
                <w:szCs w:val="24"/>
              </w:rPr>
            </w:pPr>
            <w:r w:rsidRPr="0099612B">
              <w:rPr>
                <w:rFonts w:ascii="Times New Roman" w:hAnsi="Times New Roman" w:cs="Times New Roman"/>
                <w:sz w:val="24"/>
                <w:szCs w:val="24"/>
              </w:rPr>
              <w:t>1022301427268</w:t>
            </w:r>
          </w:p>
        </w:tc>
      </w:tr>
      <w:tr w:rsidR="00092812" w:rsidRPr="0099612B" w:rsidTr="008B313B">
        <w:trPr>
          <w:trHeight w:val="521"/>
        </w:trPr>
        <w:tc>
          <w:tcPr>
            <w:tcW w:w="3828" w:type="dxa"/>
          </w:tcPr>
          <w:p w:rsidR="00092812" w:rsidRPr="0099612B" w:rsidRDefault="00092812" w:rsidP="008B313B">
            <w:pPr>
              <w:pStyle w:val="a3"/>
              <w:rPr>
                <w:rFonts w:ascii="Times New Roman" w:hAnsi="Times New Roman" w:cs="Times New Roman"/>
                <w:sz w:val="24"/>
                <w:szCs w:val="24"/>
                <w:lang w:val="en-US"/>
              </w:rPr>
            </w:pPr>
            <w:r w:rsidRPr="0099612B">
              <w:rPr>
                <w:rFonts w:ascii="Times New Roman" w:hAnsi="Times New Roman" w:cs="Times New Roman"/>
                <w:sz w:val="24"/>
                <w:szCs w:val="24"/>
              </w:rPr>
              <w:t xml:space="preserve">1.5. </w:t>
            </w:r>
            <w:r w:rsidRPr="0099612B">
              <w:rPr>
                <w:rFonts w:ascii="Times New Roman" w:hAnsi="Times New Roman" w:cs="Times New Roman"/>
                <w:sz w:val="24"/>
                <w:szCs w:val="24"/>
                <w:lang w:val="en-US"/>
              </w:rPr>
              <w:t>Issuer’s TIN</w:t>
            </w:r>
          </w:p>
        </w:tc>
        <w:tc>
          <w:tcPr>
            <w:tcW w:w="5954" w:type="dxa"/>
          </w:tcPr>
          <w:p w:rsidR="00092812" w:rsidRPr="0099612B" w:rsidRDefault="00092812" w:rsidP="008B313B">
            <w:pPr>
              <w:pStyle w:val="a3"/>
              <w:rPr>
                <w:rFonts w:ascii="Times New Roman" w:hAnsi="Times New Roman" w:cs="Times New Roman"/>
                <w:sz w:val="24"/>
                <w:szCs w:val="24"/>
              </w:rPr>
            </w:pPr>
            <w:r w:rsidRPr="0099612B">
              <w:rPr>
                <w:rFonts w:ascii="Times New Roman" w:hAnsi="Times New Roman" w:cs="Times New Roman"/>
                <w:sz w:val="24"/>
                <w:szCs w:val="24"/>
              </w:rPr>
              <w:t>2309001660</w:t>
            </w:r>
          </w:p>
        </w:tc>
      </w:tr>
      <w:tr w:rsidR="00092812" w:rsidRPr="0099612B" w:rsidTr="008B313B">
        <w:tc>
          <w:tcPr>
            <w:tcW w:w="3828" w:type="dxa"/>
          </w:tcPr>
          <w:p w:rsidR="00092812" w:rsidRPr="0099612B" w:rsidRDefault="00092812" w:rsidP="008B313B">
            <w:pPr>
              <w:pStyle w:val="a3"/>
              <w:rPr>
                <w:rFonts w:ascii="Times New Roman" w:hAnsi="Times New Roman" w:cs="Times New Roman"/>
                <w:sz w:val="24"/>
                <w:szCs w:val="24"/>
                <w:lang w:val="en-US"/>
              </w:rPr>
            </w:pPr>
            <w:r w:rsidRPr="0099612B">
              <w:rPr>
                <w:rFonts w:ascii="Times New Roman" w:hAnsi="Times New Roman" w:cs="Times New Roman"/>
                <w:sz w:val="24"/>
                <w:szCs w:val="24"/>
                <w:lang w:val="en-US"/>
              </w:rPr>
              <w:t>1.6. Issuer’s unique code given by registering authority</w:t>
            </w:r>
          </w:p>
        </w:tc>
        <w:tc>
          <w:tcPr>
            <w:tcW w:w="5954" w:type="dxa"/>
          </w:tcPr>
          <w:p w:rsidR="00092812" w:rsidRPr="0099612B" w:rsidRDefault="00092812" w:rsidP="008B313B">
            <w:pPr>
              <w:pStyle w:val="a3"/>
              <w:rPr>
                <w:rFonts w:ascii="Times New Roman" w:hAnsi="Times New Roman" w:cs="Times New Roman"/>
                <w:sz w:val="24"/>
                <w:szCs w:val="24"/>
                <w:lang w:val="en-US"/>
              </w:rPr>
            </w:pPr>
            <w:r w:rsidRPr="0099612B">
              <w:rPr>
                <w:rFonts w:ascii="Times New Roman" w:hAnsi="Times New Roman" w:cs="Times New Roman"/>
                <w:sz w:val="24"/>
                <w:szCs w:val="24"/>
              </w:rPr>
              <w:t>00063-</w:t>
            </w:r>
            <w:r w:rsidRPr="0099612B">
              <w:rPr>
                <w:rFonts w:ascii="Times New Roman" w:hAnsi="Times New Roman" w:cs="Times New Roman"/>
                <w:sz w:val="24"/>
                <w:szCs w:val="24"/>
                <w:lang w:val="en-US"/>
              </w:rPr>
              <w:t>A</w:t>
            </w:r>
          </w:p>
        </w:tc>
      </w:tr>
      <w:tr w:rsidR="00092812" w:rsidRPr="00335DFA" w:rsidTr="008B313B">
        <w:tc>
          <w:tcPr>
            <w:tcW w:w="3828" w:type="dxa"/>
          </w:tcPr>
          <w:p w:rsidR="00092812" w:rsidRPr="0099612B" w:rsidRDefault="00092812" w:rsidP="008B313B">
            <w:pPr>
              <w:pStyle w:val="a3"/>
              <w:rPr>
                <w:rFonts w:ascii="Times New Roman" w:hAnsi="Times New Roman" w:cs="Times New Roman"/>
                <w:sz w:val="24"/>
                <w:szCs w:val="24"/>
                <w:lang w:val="en-US"/>
              </w:rPr>
            </w:pPr>
            <w:r w:rsidRPr="0099612B">
              <w:rPr>
                <w:rFonts w:ascii="Times New Roman" w:hAnsi="Times New Roman" w:cs="Times New Roman"/>
                <w:sz w:val="24"/>
                <w:szCs w:val="24"/>
              </w:rPr>
              <w:t xml:space="preserve">1.7. </w:t>
            </w:r>
            <w:r w:rsidRPr="0099612B">
              <w:rPr>
                <w:rFonts w:ascii="Times New Roman" w:hAnsi="Times New Roman" w:cs="Times New Roman"/>
                <w:sz w:val="24"/>
                <w:szCs w:val="24"/>
                <w:lang w:val="en-US"/>
              </w:rPr>
              <w:t>Web-page</w:t>
            </w:r>
          </w:p>
        </w:tc>
        <w:tc>
          <w:tcPr>
            <w:tcW w:w="5954" w:type="dxa"/>
          </w:tcPr>
          <w:p w:rsidR="00910E92" w:rsidRPr="0099612B" w:rsidRDefault="00335DFA" w:rsidP="008B313B">
            <w:pPr>
              <w:pStyle w:val="a3"/>
              <w:rPr>
                <w:rFonts w:ascii="Times New Roman" w:hAnsi="Times New Roman" w:cs="Times New Roman"/>
                <w:sz w:val="24"/>
                <w:szCs w:val="24"/>
                <w:lang w:val="en-US"/>
              </w:rPr>
            </w:pPr>
            <w:hyperlink r:id="rId7" w:history="1">
              <w:r w:rsidR="00910E92" w:rsidRPr="0099612B">
                <w:rPr>
                  <w:rFonts w:ascii="Times New Roman" w:hAnsi="Times New Roman" w:cs="Times New Roman"/>
                  <w:sz w:val="24"/>
                  <w:szCs w:val="24"/>
                  <w:lang w:val="en-US"/>
                </w:rPr>
                <w:t>www.kubanenergo.ru</w:t>
              </w:r>
            </w:hyperlink>
          </w:p>
          <w:p w:rsidR="00092812" w:rsidRPr="0099612B" w:rsidRDefault="00335DFA" w:rsidP="008B313B">
            <w:pPr>
              <w:pStyle w:val="a3"/>
              <w:rPr>
                <w:rFonts w:ascii="Times New Roman" w:hAnsi="Times New Roman" w:cs="Times New Roman"/>
                <w:sz w:val="24"/>
                <w:szCs w:val="24"/>
                <w:lang w:val="en-US"/>
              </w:rPr>
            </w:pPr>
            <w:hyperlink r:id="rId8" w:history="1">
              <w:r w:rsidR="00092812" w:rsidRPr="0099612B">
                <w:rPr>
                  <w:rStyle w:val="a5"/>
                  <w:rFonts w:ascii="Times New Roman" w:hAnsi="Times New Roman" w:cs="Times New Roman"/>
                  <w:sz w:val="24"/>
                  <w:szCs w:val="24"/>
                  <w:lang w:val="en-US"/>
                </w:rPr>
                <w:t>http://www.e-disclosure.ru/portal/company.aspx?id=2827</w:t>
              </w:r>
            </w:hyperlink>
          </w:p>
        </w:tc>
      </w:tr>
      <w:tr w:rsidR="00092812" w:rsidRPr="0099612B" w:rsidTr="008B313B">
        <w:tc>
          <w:tcPr>
            <w:tcW w:w="9782" w:type="dxa"/>
            <w:gridSpan w:val="2"/>
          </w:tcPr>
          <w:p w:rsidR="00092812" w:rsidRPr="0099612B" w:rsidRDefault="00092812" w:rsidP="009E6828">
            <w:pPr>
              <w:widowControl w:val="0"/>
              <w:shd w:val="clear" w:color="auto" w:fill="FFFFFF"/>
              <w:tabs>
                <w:tab w:val="left" w:pos="432"/>
              </w:tabs>
              <w:adjustRightInd w:val="0"/>
              <w:spacing w:before="60"/>
              <w:jc w:val="center"/>
              <w:rPr>
                <w:b/>
                <w:bCs/>
                <w:lang w:val="en-US" w:eastAsia="en-US"/>
              </w:rPr>
            </w:pPr>
            <w:r w:rsidRPr="0099612B">
              <w:rPr>
                <w:lang w:val="en-US" w:eastAsia="en-US"/>
              </w:rPr>
              <w:t>2. Statement content</w:t>
            </w:r>
          </w:p>
        </w:tc>
      </w:tr>
      <w:tr w:rsidR="00092812" w:rsidRPr="00335DFA" w:rsidTr="008B313B">
        <w:trPr>
          <w:trHeight w:val="2775"/>
        </w:trPr>
        <w:tc>
          <w:tcPr>
            <w:tcW w:w="9782" w:type="dxa"/>
            <w:gridSpan w:val="2"/>
          </w:tcPr>
          <w:p w:rsidR="00092812" w:rsidRPr="0099612B" w:rsidRDefault="00092812" w:rsidP="009E6828">
            <w:pPr>
              <w:tabs>
                <w:tab w:val="left" w:pos="284"/>
              </w:tabs>
              <w:spacing w:before="60"/>
              <w:jc w:val="both"/>
              <w:rPr>
                <w:b/>
                <w:lang w:val="en-US"/>
              </w:rPr>
            </w:pPr>
            <w:r w:rsidRPr="0099612B">
              <w:rPr>
                <w:b/>
                <w:lang w:val="en-US"/>
              </w:rPr>
              <w:t>2.1 Quorum of meeting of issuer’s BoD and results of voting on the adopted decisions:</w:t>
            </w:r>
          </w:p>
          <w:p w:rsidR="00092812" w:rsidRPr="0099612B" w:rsidRDefault="00092812" w:rsidP="009E6828">
            <w:pPr>
              <w:widowControl w:val="0"/>
              <w:spacing w:before="60"/>
              <w:jc w:val="both"/>
              <w:rPr>
                <w:lang w:val="en-US"/>
              </w:rPr>
            </w:pPr>
            <w:r w:rsidRPr="0099612B">
              <w:rPr>
                <w:lang w:val="en-US"/>
              </w:rPr>
              <w:t>Number of BoD members: 11 persons</w:t>
            </w:r>
          </w:p>
          <w:p w:rsidR="00092812" w:rsidRPr="0099612B" w:rsidRDefault="00092812" w:rsidP="009E6828">
            <w:pPr>
              <w:tabs>
                <w:tab w:val="left" w:pos="284"/>
              </w:tabs>
              <w:spacing w:before="60"/>
              <w:jc w:val="both"/>
              <w:rPr>
                <w:lang w:val="en-US"/>
              </w:rPr>
            </w:pPr>
            <w:r w:rsidRPr="0099612B">
              <w:rPr>
                <w:lang w:val="en-US"/>
              </w:rPr>
              <w:t xml:space="preserve">Member participated in the meeting: </w:t>
            </w:r>
            <w:r w:rsidR="000F46F4" w:rsidRPr="0099612B">
              <w:rPr>
                <w:lang w:val="en-US"/>
              </w:rPr>
              <w:t>9</w:t>
            </w:r>
            <w:r w:rsidRPr="0099612B">
              <w:rPr>
                <w:lang w:val="en-US"/>
              </w:rPr>
              <w:t xml:space="preserve"> persons </w:t>
            </w:r>
          </w:p>
          <w:p w:rsidR="00092812" w:rsidRPr="0099612B" w:rsidRDefault="00092812" w:rsidP="009E6828">
            <w:pPr>
              <w:tabs>
                <w:tab w:val="left" w:pos="284"/>
              </w:tabs>
              <w:spacing w:before="60"/>
              <w:jc w:val="both"/>
              <w:rPr>
                <w:lang w:val="en-US"/>
              </w:rPr>
            </w:pPr>
            <w:r w:rsidRPr="0099612B">
              <w:rPr>
                <w:lang w:val="en-US"/>
              </w:rPr>
              <w:t>Quorum necessary for holding the meeting of Kubanenergo JSC Board of Directors is present.</w:t>
            </w:r>
          </w:p>
          <w:p w:rsidR="00092812" w:rsidRPr="0099612B" w:rsidRDefault="00092812" w:rsidP="009E6828">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Voting results: </w:t>
            </w:r>
          </w:p>
          <w:tbl>
            <w:tblPr>
              <w:tblStyle w:val="a4"/>
              <w:tblW w:w="0" w:type="auto"/>
              <w:jc w:val="center"/>
              <w:tblLook w:val="04A0" w:firstRow="1" w:lastRow="0" w:firstColumn="1" w:lastColumn="0" w:noHBand="0" w:noVBand="1"/>
            </w:tblPr>
            <w:tblGrid>
              <w:gridCol w:w="1129"/>
              <w:gridCol w:w="1843"/>
              <w:gridCol w:w="1985"/>
              <w:gridCol w:w="2161"/>
            </w:tblGrid>
            <w:tr w:rsidR="00A607B8" w:rsidRPr="0099612B" w:rsidTr="00690F9B">
              <w:trPr>
                <w:jc w:val="center"/>
              </w:trPr>
              <w:tc>
                <w:tcPr>
                  <w:tcW w:w="1129" w:type="dxa"/>
                  <w:vMerge w:val="restart"/>
                </w:tcPr>
                <w:p w:rsidR="00A607B8" w:rsidRPr="0099612B" w:rsidRDefault="00A607B8" w:rsidP="009E6828">
                  <w:pPr>
                    <w:pStyle w:val="a3"/>
                    <w:jc w:val="center"/>
                    <w:rPr>
                      <w:rFonts w:ascii="Times New Roman" w:hAnsi="Times New Roman" w:cs="Times New Roman"/>
                      <w:sz w:val="24"/>
                      <w:szCs w:val="24"/>
                      <w:lang w:val="en-US"/>
                    </w:rPr>
                  </w:pPr>
                  <w:r w:rsidRPr="0099612B">
                    <w:rPr>
                      <w:rFonts w:ascii="Times New Roman" w:hAnsi="Times New Roman" w:cs="Times New Roman"/>
                      <w:sz w:val="24"/>
                      <w:szCs w:val="24"/>
                      <w:lang w:val="en-US"/>
                    </w:rPr>
                    <w:t>No.</w:t>
                  </w:r>
                </w:p>
              </w:tc>
              <w:tc>
                <w:tcPr>
                  <w:tcW w:w="5989" w:type="dxa"/>
                  <w:gridSpan w:val="3"/>
                </w:tcPr>
                <w:p w:rsidR="00A607B8" w:rsidRPr="0099612B" w:rsidRDefault="00A607B8" w:rsidP="009E6828">
                  <w:pPr>
                    <w:pStyle w:val="a3"/>
                    <w:jc w:val="center"/>
                    <w:rPr>
                      <w:rFonts w:ascii="Times New Roman" w:hAnsi="Times New Roman" w:cs="Times New Roman"/>
                      <w:sz w:val="24"/>
                      <w:szCs w:val="24"/>
                      <w:lang w:val="en-US"/>
                    </w:rPr>
                  </w:pPr>
                  <w:r w:rsidRPr="0099612B">
                    <w:rPr>
                      <w:rFonts w:ascii="Times New Roman" w:hAnsi="Times New Roman" w:cs="Times New Roman"/>
                      <w:sz w:val="24"/>
                      <w:szCs w:val="24"/>
                      <w:lang w:val="en-US"/>
                    </w:rPr>
                    <w:t>Votes</w:t>
                  </w:r>
                </w:p>
              </w:tc>
            </w:tr>
            <w:tr w:rsidR="00A607B8" w:rsidRPr="0099612B" w:rsidTr="00690F9B">
              <w:trPr>
                <w:jc w:val="center"/>
              </w:trPr>
              <w:tc>
                <w:tcPr>
                  <w:tcW w:w="1129" w:type="dxa"/>
                  <w:vMerge/>
                </w:tcPr>
                <w:p w:rsidR="00A607B8" w:rsidRPr="0099612B" w:rsidRDefault="00A607B8" w:rsidP="009E6828">
                  <w:pPr>
                    <w:pStyle w:val="a3"/>
                    <w:jc w:val="center"/>
                    <w:rPr>
                      <w:rFonts w:ascii="Times New Roman" w:hAnsi="Times New Roman" w:cs="Times New Roman"/>
                      <w:sz w:val="24"/>
                      <w:szCs w:val="24"/>
                    </w:rPr>
                  </w:pPr>
                </w:p>
              </w:tc>
              <w:tc>
                <w:tcPr>
                  <w:tcW w:w="1843" w:type="dxa"/>
                </w:tcPr>
                <w:p w:rsidR="00A607B8" w:rsidRPr="0099612B" w:rsidRDefault="00A607B8" w:rsidP="009E6828">
                  <w:pPr>
                    <w:pStyle w:val="a3"/>
                    <w:jc w:val="center"/>
                    <w:rPr>
                      <w:rFonts w:ascii="Times New Roman" w:hAnsi="Times New Roman" w:cs="Times New Roman"/>
                      <w:sz w:val="24"/>
                      <w:szCs w:val="24"/>
                    </w:rPr>
                  </w:pPr>
                  <w:r w:rsidRPr="0099612B">
                    <w:rPr>
                      <w:rFonts w:ascii="Times New Roman" w:hAnsi="Times New Roman" w:cs="Times New Roman"/>
                      <w:sz w:val="24"/>
                      <w:szCs w:val="24"/>
                      <w:lang w:val="en-US"/>
                    </w:rPr>
                    <w:t>FOR</w:t>
                  </w:r>
                </w:p>
              </w:tc>
              <w:tc>
                <w:tcPr>
                  <w:tcW w:w="1985" w:type="dxa"/>
                </w:tcPr>
                <w:p w:rsidR="00A607B8" w:rsidRPr="0099612B" w:rsidRDefault="00A607B8" w:rsidP="009E6828">
                  <w:pPr>
                    <w:pStyle w:val="a3"/>
                    <w:jc w:val="center"/>
                    <w:rPr>
                      <w:rFonts w:ascii="Times New Roman" w:hAnsi="Times New Roman" w:cs="Times New Roman"/>
                      <w:sz w:val="24"/>
                      <w:szCs w:val="24"/>
                    </w:rPr>
                  </w:pPr>
                  <w:r w:rsidRPr="0099612B">
                    <w:rPr>
                      <w:rFonts w:ascii="Times New Roman" w:hAnsi="Times New Roman" w:cs="Times New Roman"/>
                      <w:sz w:val="24"/>
                      <w:szCs w:val="24"/>
                      <w:lang w:val="en-US"/>
                    </w:rPr>
                    <w:t>AGAINST</w:t>
                  </w:r>
                </w:p>
              </w:tc>
              <w:tc>
                <w:tcPr>
                  <w:tcW w:w="2161" w:type="dxa"/>
                </w:tcPr>
                <w:p w:rsidR="00A607B8" w:rsidRPr="0099612B" w:rsidRDefault="00A607B8" w:rsidP="009E6828">
                  <w:pPr>
                    <w:pStyle w:val="a3"/>
                    <w:jc w:val="center"/>
                    <w:rPr>
                      <w:rFonts w:ascii="Times New Roman" w:hAnsi="Times New Roman" w:cs="Times New Roman"/>
                      <w:sz w:val="24"/>
                      <w:szCs w:val="24"/>
                    </w:rPr>
                  </w:pPr>
                  <w:r w:rsidRPr="0099612B">
                    <w:rPr>
                      <w:rFonts w:ascii="Times New Roman" w:hAnsi="Times New Roman" w:cs="Times New Roman"/>
                      <w:sz w:val="24"/>
                      <w:szCs w:val="24"/>
                      <w:lang w:val="en-US"/>
                    </w:rPr>
                    <w:t>ABSTAINED</w:t>
                  </w:r>
                </w:p>
              </w:tc>
            </w:tr>
            <w:tr w:rsidR="00670239" w:rsidRPr="0099612B" w:rsidTr="003E354C">
              <w:trPr>
                <w:jc w:val="center"/>
              </w:trPr>
              <w:tc>
                <w:tcPr>
                  <w:tcW w:w="1129" w:type="dxa"/>
                  <w:vAlign w:val="center"/>
                </w:tcPr>
                <w:p w:rsidR="00670239" w:rsidRPr="0099612B" w:rsidRDefault="00670239"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1</w:t>
                  </w:r>
                </w:p>
              </w:tc>
              <w:tc>
                <w:tcPr>
                  <w:tcW w:w="1843" w:type="dxa"/>
                  <w:vAlign w:val="center"/>
                </w:tcPr>
                <w:p w:rsidR="00670239" w:rsidRPr="0099612B" w:rsidRDefault="00335DFA" w:rsidP="003E354C">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985" w:type="dxa"/>
                </w:tcPr>
                <w:p w:rsidR="00670239" w:rsidRPr="0099612B" w:rsidRDefault="00670239" w:rsidP="003E354C">
                  <w:pPr>
                    <w:pStyle w:val="a3"/>
                    <w:jc w:val="center"/>
                    <w:rPr>
                      <w:rFonts w:ascii="Times New Roman" w:hAnsi="Times New Roman" w:cs="Times New Roman"/>
                      <w:b/>
                      <w:sz w:val="24"/>
                      <w:szCs w:val="24"/>
                    </w:rPr>
                  </w:pPr>
                </w:p>
              </w:tc>
              <w:tc>
                <w:tcPr>
                  <w:tcW w:w="2161" w:type="dxa"/>
                </w:tcPr>
                <w:p w:rsidR="00670239" w:rsidRPr="0099612B" w:rsidRDefault="00670239" w:rsidP="003E354C">
                  <w:pPr>
                    <w:pStyle w:val="a3"/>
                    <w:jc w:val="center"/>
                    <w:rPr>
                      <w:rFonts w:ascii="Times New Roman" w:hAnsi="Times New Roman" w:cs="Times New Roman"/>
                      <w:b/>
                      <w:sz w:val="24"/>
                      <w:szCs w:val="24"/>
                    </w:rPr>
                  </w:pPr>
                </w:p>
              </w:tc>
            </w:tr>
            <w:tr w:rsidR="00335DFA" w:rsidRPr="0099612B" w:rsidTr="0002073C">
              <w:trPr>
                <w:jc w:val="center"/>
              </w:trPr>
              <w:tc>
                <w:tcPr>
                  <w:tcW w:w="1129" w:type="dxa"/>
                  <w:vAlign w:val="center"/>
                </w:tcPr>
                <w:p w:rsidR="00335DFA" w:rsidRPr="0099612B" w:rsidRDefault="00335DFA"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2</w:t>
                  </w:r>
                </w:p>
              </w:tc>
              <w:tc>
                <w:tcPr>
                  <w:tcW w:w="1843" w:type="dxa"/>
                </w:tcPr>
                <w:p w:rsidR="00335DFA" w:rsidRDefault="00335DFA" w:rsidP="00335DFA">
                  <w:pPr>
                    <w:jc w:val="center"/>
                  </w:pPr>
                  <w:r w:rsidRPr="004160E1">
                    <w:rPr>
                      <w:b/>
                      <w:lang w:val="en-US"/>
                    </w:rPr>
                    <w:t>10</w:t>
                  </w:r>
                </w:p>
              </w:tc>
              <w:tc>
                <w:tcPr>
                  <w:tcW w:w="1985" w:type="dxa"/>
                </w:tcPr>
                <w:p w:rsidR="00335DFA" w:rsidRPr="0099612B" w:rsidRDefault="00335DFA" w:rsidP="003E354C">
                  <w:pPr>
                    <w:pStyle w:val="a3"/>
                    <w:jc w:val="center"/>
                    <w:rPr>
                      <w:rFonts w:ascii="Times New Roman" w:hAnsi="Times New Roman" w:cs="Times New Roman"/>
                      <w:b/>
                      <w:sz w:val="24"/>
                      <w:szCs w:val="24"/>
                    </w:rPr>
                  </w:pPr>
                </w:p>
              </w:tc>
              <w:tc>
                <w:tcPr>
                  <w:tcW w:w="2161" w:type="dxa"/>
                </w:tcPr>
                <w:p w:rsidR="00335DFA" w:rsidRPr="0099612B" w:rsidRDefault="00335DFA" w:rsidP="003E354C">
                  <w:pPr>
                    <w:pStyle w:val="a3"/>
                    <w:jc w:val="center"/>
                    <w:rPr>
                      <w:rFonts w:ascii="Times New Roman" w:hAnsi="Times New Roman" w:cs="Times New Roman"/>
                      <w:b/>
                      <w:sz w:val="24"/>
                      <w:szCs w:val="24"/>
                    </w:rPr>
                  </w:pPr>
                </w:p>
              </w:tc>
            </w:tr>
            <w:tr w:rsidR="00335DFA" w:rsidRPr="0099612B" w:rsidTr="0002073C">
              <w:trPr>
                <w:jc w:val="center"/>
              </w:trPr>
              <w:tc>
                <w:tcPr>
                  <w:tcW w:w="1129" w:type="dxa"/>
                  <w:vAlign w:val="center"/>
                </w:tcPr>
                <w:p w:rsidR="00335DFA" w:rsidRPr="0099612B" w:rsidRDefault="00335DFA"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3</w:t>
                  </w:r>
                </w:p>
              </w:tc>
              <w:tc>
                <w:tcPr>
                  <w:tcW w:w="1843" w:type="dxa"/>
                </w:tcPr>
                <w:p w:rsidR="00335DFA" w:rsidRDefault="00335DFA" w:rsidP="00335DFA">
                  <w:pPr>
                    <w:jc w:val="center"/>
                  </w:pPr>
                  <w:r w:rsidRPr="004160E1">
                    <w:rPr>
                      <w:b/>
                      <w:lang w:val="en-US"/>
                    </w:rPr>
                    <w:t>10</w:t>
                  </w:r>
                </w:p>
              </w:tc>
              <w:tc>
                <w:tcPr>
                  <w:tcW w:w="1985" w:type="dxa"/>
                </w:tcPr>
                <w:p w:rsidR="00335DFA" w:rsidRPr="0099612B" w:rsidRDefault="00335DFA" w:rsidP="003E354C">
                  <w:pPr>
                    <w:pStyle w:val="a3"/>
                    <w:jc w:val="center"/>
                    <w:rPr>
                      <w:rFonts w:ascii="Times New Roman" w:hAnsi="Times New Roman" w:cs="Times New Roman"/>
                      <w:b/>
                      <w:sz w:val="24"/>
                      <w:szCs w:val="24"/>
                    </w:rPr>
                  </w:pPr>
                </w:p>
              </w:tc>
              <w:tc>
                <w:tcPr>
                  <w:tcW w:w="2161" w:type="dxa"/>
                </w:tcPr>
                <w:p w:rsidR="00335DFA" w:rsidRPr="0099612B" w:rsidRDefault="00335DFA" w:rsidP="003E354C">
                  <w:pPr>
                    <w:pStyle w:val="a3"/>
                    <w:jc w:val="center"/>
                    <w:rPr>
                      <w:rFonts w:ascii="Times New Roman" w:hAnsi="Times New Roman" w:cs="Times New Roman"/>
                      <w:b/>
                      <w:sz w:val="24"/>
                      <w:szCs w:val="24"/>
                    </w:rPr>
                  </w:pPr>
                </w:p>
              </w:tc>
            </w:tr>
            <w:tr w:rsidR="00335DFA" w:rsidRPr="0099612B" w:rsidTr="0002073C">
              <w:trPr>
                <w:jc w:val="center"/>
              </w:trPr>
              <w:tc>
                <w:tcPr>
                  <w:tcW w:w="1129" w:type="dxa"/>
                  <w:vAlign w:val="center"/>
                </w:tcPr>
                <w:p w:rsidR="00335DFA" w:rsidRPr="0099612B" w:rsidRDefault="00335DFA"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4</w:t>
                  </w:r>
                </w:p>
              </w:tc>
              <w:tc>
                <w:tcPr>
                  <w:tcW w:w="1843" w:type="dxa"/>
                </w:tcPr>
                <w:p w:rsidR="00335DFA" w:rsidRDefault="00335DFA" w:rsidP="00335DFA">
                  <w:pPr>
                    <w:jc w:val="center"/>
                  </w:pPr>
                  <w:r w:rsidRPr="004160E1">
                    <w:rPr>
                      <w:b/>
                      <w:lang w:val="en-US"/>
                    </w:rPr>
                    <w:t>10</w:t>
                  </w:r>
                </w:p>
              </w:tc>
              <w:tc>
                <w:tcPr>
                  <w:tcW w:w="1985" w:type="dxa"/>
                </w:tcPr>
                <w:p w:rsidR="00335DFA" w:rsidRPr="0099612B" w:rsidRDefault="00335DFA" w:rsidP="003E354C">
                  <w:pPr>
                    <w:pStyle w:val="a3"/>
                    <w:jc w:val="center"/>
                    <w:rPr>
                      <w:rFonts w:ascii="Times New Roman" w:hAnsi="Times New Roman" w:cs="Times New Roman"/>
                      <w:b/>
                      <w:sz w:val="24"/>
                      <w:szCs w:val="24"/>
                    </w:rPr>
                  </w:pPr>
                </w:p>
              </w:tc>
              <w:tc>
                <w:tcPr>
                  <w:tcW w:w="2161" w:type="dxa"/>
                </w:tcPr>
                <w:p w:rsidR="00335DFA" w:rsidRPr="0099612B" w:rsidRDefault="00335DFA" w:rsidP="003E354C">
                  <w:pPr>
                    <w:pStyle w:val="a3"/>
                    <w:jc w:val="center"/>
                    <w:rPr>
                      <w:rFonts w:ascii="Times New Roman" w:hAnsi="Times New Roman" w:cs="Times New Roman"/>
                      <w:b/>
                      <w:sz w:val="24"/>
                      <w:szCs w:val="24"/>
                    </w:rPr>
                  </w:pPr>
                </w:p>
              </w:tc>
            </w:tr>
            <w:tr w:rsidR="00335DFA" w:rsidRPr="0099612B" w:rsidTr="0002073C">
              <w:trPr>
                <w:jc w:val="center"/>
              </w:trPr>
              <w:tc>
                <w:tcPr>
                  <w:tcW w:w="1129" w:type="dxa"/>
                  <w:vAlign w:val="center"/>
                </w:tcPr>
                <w:p w:rsidR="00335DFA" w:rsidRPr="0099612B" w:rsidRDefault="00335DFA"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5</w:t>
                  </w:r>
                </w:p>
              </w:tc>
              <w:tc>
                <w:tcPr>
                  <w:tcW w:w="1843" w:type="dxa"/>
                </w:tcPr>
                <w:p w:rsidR="00335DFA" w:rsidRDefault="00335DFA" w:rsidP="00335DFA">
                  <w:pPr>
                    <w:jc w:val="center"/>
                  </w:pPr>
                  <w:r w:rsidRPr="004160E1">
                    <w:rPr>
                      <w:b/>
                      <w:lang w:val="en-US"/>
                    </w:rPr>
                    <w:t>10</w:t>
                  </w:r>
                </w:p>
              </w:tc>
              <w:tc>
                <w:tcPr>
                  <w:tcW w:w="1985" w:type="dxa"/>
                </w:tcPr>
                <w:p w:rsidR="00335DFA" w:rsidRPr="0099612B" w:rsidRDefault="00335DFA" w:rsidP="003E354C">
                  <w:pPr>
                    <w:pStyle w:val="a3"/>
                    <w:jc w:val="center"/>
                    <w:rPr>
                      <w:rFonts w:ascii="Times New Roman" w:hAnsi="Times New Roman" w:cs="Times New Roman"/>
                      <w:b/>
                      <w:sz w:val="24"/>
                      <w:szCs w:val="24"/>
                    </w:rPr>
                  </w:pPr>
                </w:p>
              </w:tc>
              <w:tc>
                <w:tcPr>
                  <w:tcW w:w="2161" w:type="dxa"/>
                </w:tcPr>
                <w:p w:rsidR="00335DFA" w:rsidRPr="0099612B" w:rsidRDefault="00335DFA" w:rsidP="003E354C">
                  <w:pPr>
                    <w:pStyle w:val="a3"/>
                    <w:jc w:val="center"/>
                    <w:rPr>
                      <w:rFonts w:ascii="Times New Roman" w:hAnsi="Times New Roman" w:cs="Times New Roman"/>
                      <w:b/>
                      <w:sz w:val="24"/>
                      <w:szCs w:val="24"/>
                    </w:rPr>
                  </w:pPr>
                </w:p>
              </w:tc>
            </w:tr>
            <w:tr w:rsidR="00670239" w:rsidRPr="0099612B" w:rsidTr="003E354C">
              <w:trPr>
                <w:jc w:val="center"/>
              </w:trPr>
              <w:tc>
                <w:tcPr>
                  <w:tcW w:w="1129" w:type="dxa"/>
                  <w:vAlign w:val="center"/>
                </w:tcPr>
                <w:p w:rsidR="00670239" w:rsidRPr="0099612B" w:rsidRDefault="00670239"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6</w:t>
                  </w:r>
                </w:p>
              </w:tc>
              <w:tc>
                <w:tcPr>
                  <w:tcW w:w="1843" w:type="dxa"/>
                  <w:vAlign w:val="center"/>
                </w:tcPr>
                <w:p w:rsidR="00670239" w:rsidRPr="0099612B" w:rsidRDefault="000F46F4" w:rsidP="003E354C">
                  <w:pPr>
                    <w:jc w:val="center"/>
                  </w:pPr>
                  <w:r w:rsidRPr="0099612B">
                    <w:rPr>
                      <w:b/>
                      <w:lang w:val="en-US"/>
                    </w:rPr>
                    <w:t>9</w:t>
                  </w:r>
                </w:p>
              </w:tc>
              <w:tc>
                <w:tcPr>
                  <w:tcW w:w="1985" w:type="dxa"/>
                </w:tcPr>
                <w:p w:rsidR="00670239" w:rsidRPr="0099612B" w:rsidRDefault="00670239" w:rsidP="003E354C">
                  <w:pPr>
                    <w:pStyle w:val="a3"/>
                    <w:jc w:val="center"/>
                    <w:rPr>
                      <w:rFonts w:ascii="Times New Roman" w:hAnsi="Times New Roman" w:cs="Times New Roman"/>
                      <w:b/>
                      <w:sz w:val="24"/>
                      <w:szCs w:val="24"/>
                    </w:rPr>
                  </w:pPr>
                </w:p>
              </w:tc>
              <w:tc>
                <w:tcPr>
                  <w:tcW w:w="2161" w:type="dxa"/>
                </w:tcPr>
                <w:p w:rsidR="00670239" w:rsidRPr="00335DFA" w:rsidRDefault="00335DFA" w:rsidP="003E354C">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bookmarkStart w:id="0" w:name="_GoBack"/>
                  <w:bookmarkEnd w:id="0"/>
                </w:p>
              </w:tc>
            </w:tr>
            <w:tr w:rsidR="00670239" w:rsidRPr="0099612B" w:rsidTr="003E354C">
              <w:trPr>
                <w:jc w:val="center"/>
              </w:trPr>
              <w:tc>
                <w:tcPr>
                  <w:tcW w:w="1129" w:type="dxa"/>
                  <w:vAlign w:val="center"/>
                </w:tcPr>
                <w:p w:rsidR="00670239" w:rsidRPr="0099612B" w:rsidRDefault="00670239"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7</w:t>
                  </w:r>
                </w:p>
              </w:tc>
              <w:tc>
                <w:tcPr>
                  <w:tcW w:w="1843" w:type="dxa"/>
                  <w:vAlign w:val="center"/>
                </w:tcPr>
                <w:p w:rsidR="00670239" w:rsidRPr="0099612B" w:rsidRDefault="00335DFA" w:rsidP="003E354C">
                  <w:pPr>
                    <w:jc w:val="center"/>
                  </w:pPr>
                  <w:r>
                    <w:rPr>
                      <w:b/>
                      <w:lang w:val="en-US"/>
                    </w:rPr>
                    <w:t>10</w:t>
                  </w:r>
                </w:p>
              </w:tc>
              <w:tc>
                <w:tcPr>
                  <w:tcW w:w="1985" w:type="dxa"/>
                </w:tcPr>
                <w:p w:rsidR="00670239" w:rsidRPr="0099612B" w:rsidRDefault="00670239" w:rsidP="003E354C">
                  <w:pPr>
                    <w:pStyle w:val="a3"/>
                    <w:jc w:val="center"/>
                    <w:rPr>
                      <w:rFonts w:ascii="Times New Roman" w:hAnsi="Times New Roman" w:cs="Times New Roman"/>
                      <w:b/>
                      <w:sz w:val="24"/>
                      <w:szCs w:val="24"/>
                    </w:rPr>
                  </w:pPr>
                </w:p>
              </w:tc>
              <w:tc>
                <w:tcPr>
                  <w:tcW w:w="2161" w:type="dxa"/>
                </w:tcPr>
                <w:p w:rsidR="00670239" w:rsidRPr="0099612B" w:rsidRDefault="00670239" w:rsidP="003E354C">
                  <w:pPr>
                    <w:pStyle w:val="a3"/>
                    <w:jc w:val="center"/>
                    <w:rPr>
                      <w:rFonts w:ascii="Times New Roman" w:hAnsi="Times New Roman" w:cs="Times New Roman"/>
                      <w:b/>
                      <w:sz w:val="24"/>
                      <w:szCs w:val="24"/>
                    </w:rPr>
                  </w:pPr>
                </w:p>
              </w:tc>
            </w:tr>
            <w:tr w:rsidR="00670239" w:rsidRPr="0099612B" w:rsidTr="003E354C">
              <w:trPr>
                <w:jc w:val="center"/>
              </w:trPr>
              <w:tc>
                <w:tcPr>
                  <w:tcW w:w="1129" w:type="dxa"/>
                  <w:vAlign w:val="center"/>
                </w:tcPr>
                <w:p w:rsidR="00670239" w:rsidRPr="0099612B" w:rsidRDefault="00670239"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8</w:t>
                  </w:r>
                </w:p>
              </w:tc>
              <w:tc>
                <w:tcPr>
                  <w:tcW w:w="1843" w:type="dxa"/>
                  <w:vAlign w:val="center"/>
                </w:tcPr>
                <w:p w:rsidR="00670239" w:rsidRPr="0099612B" w:rsidRDefault="00335DFA" w:rsidP="003E354C">
                  <w:pPr>
                    <w:jc w:val="center"/>
                  </w:pPr>
                  <w:r>
                    <w:rPr>
                      <w:b/>
                      <w:lang w:val="en-US"/>
                    </w:rPr>
                    <w:t>9</w:t>
                  </w:r>
                </w:p>
              </w:tc>
              <w:tc>
                <w:tcPr>
                  <w:tcW w:w="1985" w:type="dxa"/>
                </w:tcPr>
                <w:p w:rsidR="00670239" w:rsidRPr="0099612B" w:rsidRDefault="00670239" w:rsidP="003E354C">
                  <w:pPr>
                    <w:pStyle w:val="a3"/>
                    <w:jc w:val="center"/>
                    <w:rPr>
                      <w:rFonts w:ascii="Times New Roman" w:hAnsi="Times New Roman" w:cs="Times New Roman"/>
                      <w:b/>
                      <w:sz w:val="24"/>
                      <w:szCs w:val="24"/>
                    </w:rPr>
                  </w:pPr>
                </w:p>
              </w:tc>
              <w:tc>
                <w:tcPr>
                  <w:tcW w:w="2161" w:type="dxa"/>
                </w:tcPr>
                <w:p w:rsidR="00670239" w:rsidRPr="0099612B" w:rsidRDefault="000F46F4" w:rsidP="003E354C">
                  <w:pPr>
                    <w:pStyle w:val="a3"/>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t>1</w:t>
                  </w:r>
                </w:p>
              </w:tc>
            </w:tr>
            <w:tr w:rsidR="00670239" w:rsidRPr="0099612B" w:rsidTr="003E354C">
              <w:trPr>
                <w:jc w:val="center"/>
              </w:trPr>
              <w:tc>
                <w:tcPr>
                  <w:tcW w:w="1129" w:type="dxa"/>
                  <w:vAlign w:val="center"/>
                </w:tcPr>
                <w:p w:rsidR="00670239" w:rsidRPr="0099612B" w:rsidRDefault="00670239"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9</w:t>
                  </w:r>
                </w:p>
              </w:tc>
              <w:tc>
                <w:tcPr>
                  <w:tcW w:w="1843" w:type="dxa"/>
                  <w:vAlign w:val="center"/>
                </w:tcPr>
                <w:p w:rsidR="00670239" w:rsidRPr="0099612B" w:rsidRDefault="00335DFA" w:rsidP="003E354C">
                  <w:pPr>
                    <w:jc w:val="center"/>
                  </w:pPr>
                  <w:r>
                    <w:rPr>
                      <w:b/>
                      <w:lang w:val="en-US"/>
                    </w:rPr>
                    <w:t>7</w:t>
                  </w:r>
                </w:p>
              </w:tc>
              <w:tc>
                <w:tcPr>
                  <w:tcW w:w="1985" w:type="dxa"/>
                </w:tcPr>
                <w:p w:rsidR="00670239" w:rsidRPr="0099612B" w:rsidRDefault="00670239" w:rsidP="003E354C">
                  <w:pPr>
                    <w:pStyle w:val="a3"/>
                    <w:jc w:val="center"/>
                    <w:rPr>
                      <w:rFonts w:ascii="Times New Roman" w:hAnsi="Times New Roman" w:cs="Times New Roman"/>
                      <w:b/>
                      <w:sz w:val="24"/>
                      <w:szCs w:val="24"/>
                    </w:rPr>
                  </w:pPr>
                </w:p>
              </w:tc>
              <w:tc>
                <w:tcPr>
                  <w:tcW w:w="2161" w:type="dxa"/>
                </w:tcPr>
                <w:p w:rsidR="00670239" w:rsidRPr="0099612B" w:rsidRDefault="000F46F4" w:rsidP="003E354C">
                  <w:pPr>
                    <w:pStyle w:val="a3"/>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t>1</w:t>
                  </w:r>
                </w:p>
              </w:tc>
            </w:tr>
            <w:tr w:rsidR="004A690C" w:rsidRPr="00335DFA" w:rsidTr="00F760BC">
              <w:trPr>
                <w:jc w:val="center"/>
              </w:trPr>
              <w:tc>
                <w:tcPr>
                  <w:tcW w:w="7118" w:type="dxa"/>
                  <w:gridSpan w:val="4"/>
                </w:tcPr>
                <w:p w:rsidR="004A690C" w:rsidRPr="00335DFA" w:rsidRDefault="000149E8" w:rsidP="000149E8">
                  <w:pPr>
                    <w:pStyle w:val="a3"/>
                    <w:rPr>
                      <w:rFonts w:ascii="Times New Roman" w:hAnsi="Times New Roman" w:cs="Times New Roman"/>
                      <w:lang w:val="en-US"/>
                    </w:rPr>
                  </w:pPr>
                  <w:r w:rsidRPr="0099612B">
                    <w:rPr>
                      <w:rFonts w:ascii="Times New Roman" w:hAnsi="Times New Roman" w:cs="Times New Roman"/>
                      <w:lang w:val="en-US"/>
                    </w:rPr>
                    <w:t>Two</w:t>
                  </w:r>
                  <w:r w:rsidRPr="00335DFA">
                    <w:rPr>
                      <w:rFonts w:ascii="Times New Roman" w:hAnsi="Times New Roman" w:cs="Times New Roman"/>
                      <w:lang w:val="en-US"/>
                    </w:rPr>
                    <w:t xml:space="preserve"> </w:t>
                  </w:r>
                  <w:r w:rsidRPr="0099612B">
                    <w:rPr>
                      <w:rFonts w:ascii="Times New Roman" w:hAnsi="Times New Roman" w:cs="Times New Roman"/>
                      <w:lang w:val="en-US"/>
                    </w:rPr>
                    <w:t>members</w:t>
                  </w:r>
                  <w:r w:rsidRPr="00335DFA">
                    <w:rPr>
                      <w:rFonts w:ascii="Times New Roman" w:hAnsi="Times New Roman" w:cs="Times New Roman"/>
                      <w:lang w:val="en-US"/>
                    </w:rPr>
                    <w:t xml:space="preserve"> </w:t>
                  </w:r>
                  <w:r w:rsidRPr="0099612B">
                    <w:rPr>
                      <w:rFonts w:ascii="Times New Roman" w:hAnsi="Times New Roman" w:cs="Times New Roman"/>
                      <w:lang w:val="en-US"/>
                    </w:rPr>
                    <w:t>of</w:t>
                  </w:r>
                  <w:r w:rsidRPr="00335DFA">
                    <w:rPr>
                      <w:rFonts w:ascii="Times New Roman" w:hAnsi="Times New Roman" w:cs="Times New Roman"/>
                      <w:lang w:val="en-US"/>
                    </w:rPr>
                    <w:t xml:space="preserve"> </w:t>
                  </w:r>
                  <w:r w:rsidRPr="0099612B">
                    <w:rPr>
                      <w:rFonts w:ascii="Times New Roman" w:hAnsi="Times New Roman" w:cs="Times New Roman"/>
                      <w:lang w:val="en-US"/>
                    </w:rPr>
                    <w:t>the</w:t>
                  </w:r>
                  <w:r w:rsidRPr="00335DFA">
                    <w:rPr>
                      <w:rFonts w:ascii="Times New Roman" w:hAnsi="Times New Roman" w:cs="Times New Roman"/>
                      <w:lang w:val="en-US"/>
                    </w:rPr>
                    <w:t xml:space="preserve"> </w:t>
                  </w:r>
                  <w:r w:rsidRPr="0099612B">
                    <w:rPr>
                      <w:rFonts w:ascii="Times New Roman" w:hAnsi="Times New Roman" w:cs="Times New Roman"/>
                      <w:lang w:val="en-US"/>
                    </w:rPr>
                    <w:t>BoD</w:t>
                  </w:r>
                  <w:r w:rsidRPr="00335DFA">
                    <w:rPr>
                      <w:rFonts w:ascii="Times New Roman" w:hAnsi="Times New Roman" w:cs="Times New Roman"/>
                      <w:lang w:val="en-US"/>
                    </w:rPr>
                    <w:t xml:space="preserve"> </w:t>
                  </w:r>
                  <w:r w:rsidRPr="0099612B">
                    <w:rPr>
                      <w:rFonts w:ascii="Times New Roman" w:hAnsi="Times New Roman" w:cs="Times New Roman"/>
                      <w:lang w:val="en-US"/>
                    </w:rPr>
                    <w:t>did</w:t>
                  </w:r>
                  <w:r w:rsidRPr="00335DFA">
                    <w:rPr>
                      <w:rFonts w:ascii="Times New Roman" w:hAnsi="Times New Roman" w:cs="Times New Roman"/>
                      <w:lang w:val="en-US"/>
                    </w:rPr>
                    <w:t xml:space="preserve"> </w:t>
                  </w:r>
                  <w:r w:rsidRPr="0099612B">
                    <w:rPr>
                      <w:rFonts w:ascii="Times New Roman" w:hAnsi="Times New Roman" w:cs="Times New Roman"/>
                      <w:lang w:val="en-US"/>
                    </w:rPr>
                    <w:t>not</w:t>
                  </w:r>
                  <w:r w:rsidRPr="00335DFA">
                    <w:rPr>
                      <w:rFonts w:ascii="Times New Roman" w:hAnsi="Times New Roman" w:cs="Times New Roman"/>
                      <w:lang w:val="en-US"/>
                    </w:rPr>
                    <w:t xml:space="preserve"> </w:t>
                  </w:r>
                  <w:r w:rsidRPr="0099612B">
                    <w:rPr>
                      <w:rFonts w:ascii="Times New Roman" w:hAnsi="Times New Roman" w:cs="Times New Roman"/>
                      <w:lang w:val="en-US"/>
                    </w:rPr>
                    <w:t>vote</w:t>
                  </w:r>
                  <w:r w:rsidRPr="00335DFA">
                    <w:rPr>
                      <w:rFonts w:ascii="Times New Roman" w:hAnsi="Times New Roman" w:cs="Times New Roman"/>
                      <w:lang w:val="en-US"/>
                    </w:rPr>
                    <w:t xml:space="preserve"> </w:t>
                  </w:r>
                  <w:r w:rsidRPr="0099612B">
                    <w:rPr>
                      <w:rFonts w:ascii="Times New Roman" w:hAnsi="Times New Roman" w:cs="Times New Roman"/>
                      <w:lang w:val="en-US"/>
                    </w:rPr>
                    <w:t>on</w:t>
                  </w:r>
                  <w:r w:rsidRPr="00335DFA">
                    <w:rPr>
                      <w:rFonts w:ascii="Times New Roman" w:hAnsi="Times New Roman" w:cs="Times New Roman"/>
                      <w:lang w:val="en-US"/>
                    </w:rPr>
                    <w:t xml:space="preserve"> </w:t>
                  </w:r>
                  <w:r w:rsidRPr="0099612B">
                    <w:rPr>
                      <w:rFonts w:ascii="Times New Roman" w:hAnsi="Times New Roman" w:cs="Times New Roman"/>
                      <w:lang w:val="en-US"/>
                    </w:rPr>
                    <w:t>the</w:t>
                  </w:r>
                  <w:r w:rsidRPr="00335DFA">
                    <w:rPr>
                      <w:rFonts w:ascii="Times New Roman" w:hAnsi="Times New Roman" w:cs="Times New Roman"/>
                      <w:lang w:val="en-US"/>
                    </w:rPr>
                    <w:t xml:space="preserve"> 2</w:t>
                  </w:r>
                  <w:r w:rsidRPr="0099612B">
                    <w:rPr>
                      <w:rFonts w:ascii="Times New Roman" w:hAnsi="Times New Roman" w:cs="Times New Roman"/>
                      <w:vertAlign w:val="superscript"/>
                      <w:lang w:val="en-US"/>
                    </w:rPr>
                    <w:t>nd</w:t>
                  </w:r>
                  <w:r w:rsidRPr="00335DFA">
                    <w:rPr>
                      <w:rFonts w:ascii="Times New Roman" w:hAnsi="Times New Roman" w:cs="Times New Roman"/>
                      <w:lang w:val="en-US"/>
                    </w:rPr>
                    <w:t xml:space="preserve"> </w:t>
                  </w:r>
                  <w:r w:rsidRPr="0099612B">
                    <w:rPr>
                      <w:rFonts w:ascii="Times New Roman" w:hAnsi="Times New Roman" w:cs="Times New Roman"/>
                      <w:lang w:val="en-US"/>
                    </w:rPr>
                    <w:t>item</w:t>
                  </w:r>
                  <w:r w:rsidRPr="00335DFA">
                    <w:rPr>
                      <w:rFonts w:ascii="Times New Roman" w:hAnsi="Times New Roman" w:cs="Times New Roman"/>
                      <w:lang w:val="en-US"/>
                    </w:rPr>
                    <w:t xml:space="preserve"> </w:t>
                  </w:r>
                </w:p>
              </w:tc>
            </w:tr>
          </w:tbl>
          <w:p w:rsidR="00092812" w:rsidRPr="00335DFA" w:rsidRDefault="00092812" w:rsidP="003F07F1">
            <w:pPr>
              <w:tabs>
                <w:tab w:val="left" w:pos="3355"/>
              </w:tabs>
              <w:rPr>
                <w:lang w:val="en-US" w:eastAsia="en-US"/>
              </w:rPr>
            </w:pPr>
          </w:p>
        </w:tc>
      </w:tr>
      <w:tr w:rsidR="00092812" w:rsidRPr="00335DFA" w:rsidTr="008B313B">
        <w:tc>
          <w:tcPr>
            <w:tcW w:w="9782" w:type="dxa"/>
            <w:gridSpan w:val="2"/>
          </w:tcPr>
          <w:p w:rsidR="00092812" w:rsidRPr="0099612B" w:rsidRDefault="00092812" w:rsidP="003F07F1">
            <w:pPr>
              <w:tabs>
                <w:tab w:val="left" w:pos="426"/>
                <w:tab w:val="left" w:pos="993"/>
              </w:tabs>
              <w:jc w:val="center"/>
              <w:rPr>
                <w:b/>
                <w:lang w:val="en-US"/>
              </w:rPr>
            </w:pPr>
            <w:r w:rsidRPr="0099612B">
              <w:rPr>
                <w:b/>
                <w:lang w:val="en-US"/>
              </w:rPr>
              <w:t>Di</w:t>
            </w:r>
            <w:r w:rsidR="00C7255C" w:rsidRPr="0099612B">
              <w:rPr>
                <w:b/>
                <w:lang w:val="en-US"/>
              </w:rPr>
              <w:t>sclosure of insider information</w:t>
            </w:r>
            <w:r w:rsidR="00910E92" w:rsidRPr="0099612B">
              <w:rPr>
                <w:b/>
                <w:lang w:val="en-US"/>
              </w:rPr>
              <w:t xml:space="preserve"> o</w:t>
            </w:r>
            <w:r w:rsidRPr="0099612B">
              <w:rPr>
                <w:b/>
                <w:lang w:val="en-US"/>
              </w:rPr>
              <w:t>n item No.</w:t>
            </w:r>
            <w:r w:rsidR="00F15BDF" w:rsidRPr="0099612B">
              <w:rPr>
                <w:b/>
                <w:lang w:val="en-US"/>
              </w:rPr>
              <w:t xml:space="preserve"> </w:t>
            </w:r>
            <w:r w:rsidRPr="0099612B">
              <w:rPr>
                <w:b/>
                <w:lang w:val="en-US"/>
              </w:rPr>
              <w:t>1 “</w:t>
            </w:r>
            <w:r w:rsidR="004A690C" w:rsidRPr="0099612B">
              <w:rPr>
                <w:b/>
                <w:color w:val="000000"/>
                <w:lang w:val="en-US"/>
              </w:rPr>
              <w:t>On priority activity of the Company: on ensuring the availability of energy infrastructure and quality of technological connection to Company’s networks</w:t>
            </w:r>
            <w:r w:rsidRPr="0099612B">
              <w:rPr>
                <w:b/>
                <w:lang w:val="en-US"/>
              </w:rPr>
              <w:t>”</w:t>
            </w:r>
            <w:r w:rsidR="006B1E4A" w:rsidRPr="0099612B">
              <w:rPr>
                <w:b/>
                <w:lang w:val="en-US"/>
              </w:rPr>
              <w:t>.</w:t>
            </w:r>
          </w:p>
        </w:tc>
      </w:tr>
      <w:tr w:rsidR="00092812" w:rsidRPr="00335DFA" w:rsidTr="008B313B">
        <w:tc>
          <w:tcPr>
            <w:tcW w:w="9782" w:type="dxa"/>
            <w:gridSpan w:val="2"/>
          </w:tcPr>
          <w:p w:rsidR="00092812" w:rsidRPr="0099612B" w:rsidRDefault="00092812" w:rsidP="009E6828">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2.2.1. </w:t>
            </w:r>
            <w:r w:rsidR="00CE0DEE" w:rsidRPr="0099612B">
              <w:rPr>
                <w:rFonts w:ascii="Times New Roman" w:hAnsi="Times New Roman" w:cs="Times New Roman"/>
                <w:sz w:val="24"/>
                <w:szCs w:val="24"/>
                <w:lang w:val="en-US"/>
              </w:rPr>
              <w:t xml:space="preserve"> D</w:t>
            </w:r>
            <w:r w:rsidRPr="0099612B">
              <w:rPr>
                <w:rFonts w:ascii="Times New Roman" w:hAnsi="Times New Roman" w:cs="Times New Roman"/>
                <w:sz w:val="24"/>
                <w:szCs w:val="24"/>
                <w:lang w:val="en-US"/>
              </w:rPr>
              <w:t>ecision adopted by issuer’s Board of Directors:</w:t>
            </w:r>
          </w:p>
          <w:p w:rsidR="001A1579" w:rsidRPr="0099612B" w:rsidRDefault="00EF3269" w:rsidP="00D02854">
            <w:pPr>
              <w:tabs>
                <w:tab w:val="left" w:pos="204"/>
              </w:tabs>
              <w:spacing w:before="60"/>
              <w:jc w:val="both"/>
              <w:rPr>
                <w:color w:val="000000"/>
                <w:lang w:val="en-US"/>
              </w:rPr>
            </w:pPr>
            <w:r w:rsidRPr="0099612B">
              <w:rPr>
                <w:lang w:val="en-US"/>
              </w:rPr>
              <w:t xml:space="preserve">1. </w:t>
            </w:r>
            <w:r w:rsidR="00D02854" w:rsidRPr="0099612B">
              <w:rPr>
                <w:lang w:val="en-US"/>
              </w:rPr>
              <w:t xml:space="preserve">To decide that </w:t>
            </w:r>
            <w:r w:rsidR="00D02854" w:rsidRPr="0099612B">
              <w:rPr>
                <w:color w:val="000000"/>
                <w:lang w:val="en-US"/>
              </w:rPr>
              <w:t>availability of energy infrastructure and quality of technological connection to Company’s networks is Company’s priority activity.</w:t>
            </w:r>
          </w:p>
          <w:p w:rsidR="00D02854" w:rsidRPr="0099612B" w:rsidRDefault="00D02854" w:rsidP="00D02854">
            <w:pPr>
              <w:tabs>
                <w:tab w:val="left" w:pos="204"/>
              </w:tabs>
              <w:spacing w:before="60"/>
              <w:jc w:val="both"/>
              <w:rPr>
                <w:color w:val="000000"/>
                <w:lang w:val="en-US"/>
              </w:rPr>
            </w:pPr>
            <w:r w:rsidRPr="0099612B">
              <w:rPr>
                <w:color w:val="000000"/>
                <w:lang w:val="en-US"/>
              </w:rPr>
              <w:t xml:space="preserve">2. </w:t>
            </w:r>
            <w:r w:rsidR="00BC64A0" w:rsidRPr="0099612B">
              <w:rPr>
                <w:color w:val="000000"/>
                <w:lang w:val="en-US"/>
              </w:rPr>
              <w:t>To approve recommended practices on determining power reserve at the main substations of the Company in accordance with Appendix 1 to present decision of Company’s BoD.</w:t>
            </w:r>
          </w:p>
          <w:p w:rsidR="00BC64A0" w:rsidRPr="0099612B" w:rsidRDefault="002D5EB8" w:rsidP="00E45FFB">
            <w:pPr>
              <w:tabs>
                <w:tab w:val="left" w:pos="204"/>
              </w:tabs>
              <w:spacing w:before="60"/>
              <w:jc w:val="both"/>
              <w:rPr>
                <w:color w:val="000000"/>
                <w:lang w:val="en-US"/>
              </w:rPr>
            </w:pPr>
            <w:r w:rsidRPr="0099612B">
              <w:rPr>
                <w:color w:val="000000"/>
                <w:lang w:val="en-US"/>
              </w:rPr>
              <w:t xml:space="preserve">3. </w:t>
            </w:r>
            <w:r w:rsidR="00560DB7" w:rsidRPr="0099612B">
              <w:rPr>
                <w:color w:val="000000"/>
                <w:lang w:val="en-US"/>
              </w:rPr>
              <w:t>To approve “</w:t>
            </w:r>
            <w:r w:rsidR="001A2D03" w:rsidRPr="0099612B">
              <w:rPr>
                <w:color w:val="000000"/>
                <w:lang w:val="en-US"/>
              </w:rPr>
              <w:t xml:space="preserve">Standard form of product requirements document on development of Complex </w:t>
            </w:r>
            <w:r w:rsidR="001A2D03" w:rsidRPr="0099612B">
              <w:rPr>
                <w:color w:val="000000"/>
                <w:lang w:val="en-US"/>
              </w:rPr>
              <w:lastRenderedPageBreak/>
              <w:t xml:space="preserve">programme of 35kV and </w:t>
            </w:r>
            <w:r w:rsidR="00E45FFB" w:rsidRPr="0099612B">
              <w:rPr>
                <w:color w:val="000000"/>
                <w:lang w:val="en-US"/>
              </w:rPr>
              <w:t>higher</w:t>
            </w:r>
            <w:r w:rsidR="001A2D03" w:rsidRPr="0099612B">
              <w:rPr>
                <w:color w:val="000000"/>
                <w:lang w:val="en-US"/>
              </w:rPr>
              <w:t xml:space="preserve"> electric grids development on the territory of</w:t>
            </w:r>
            <w:r w:rsidR="00E45FFB" w:rsidRPr="0099612B">
              <w:rPr>
                <w:color w:val="000000"/>
                <w:lang w:val="en-US"/>
              </w:rPr>
              <w:t xml:space="preserve"> Russian Federation for five years</w:t>
            </w:r>
            <w:r w:rsidR="00560DB7" w:rsidRPr="0099612B">
              <w:rPr>
                <w:color w:val="000000"/>
                <w:lang w:val="en-US"/>
              </w:rPr>
              <w:t>”</w:t>
            </w:r>
            <w:r w:rsidR="00E45FFB" w:rsidRPr="0099612B">
              <w:rPr>
                <w:color w:val="000000"/>
                <w:lang w:val="en-US"/>
              </w:rPr>
              <w:t>.</w:t>
            </w:r>
          </w:p>
          <w:p w:rsidR="00E45FFB" w:rsidRPr="0099612B" w:rsidRDefault="00E45FFB" w:rsidP="00E45FFB">
            <w:pPr>
              <w:tabs>
                <w:tab w:val="left" w:pos="204"/>
              </w:tabs>
              <w:spacing w:before="60"/>
              <w:jc w:val="both"/>
              <w:rPr>
                <w:color w:val="000000"/>
                <w:lang w:val="en-US"/>
              </w:rPr>
            </w:pPr>
            <w:r w:rsidRPr="0099612B">
              <w:rPr>
                <w:color w:val="000000"/>
                <w:lang w:val="en-US"/>
              </w:rPr>
              <w:t>4. To approve “Standard documents on technological connection” (hereafter – Standard documents) in accordance with Appendix 3-5 to present decision of Company’s BoD.</w:t>
            </w:r>
          </w:p>
          <w:p w:rsidR="00E45FFB" w:rsidRPr="0099612B" w:rsidRDefault="00E45FFB" w:rsidP="00E45FFB">
            <w:pPr>
              <w:tabs>
                <w:tab w:val="left" w:pos="204"/>
              </w:tabs>
              <w:spacing w:before="60"/>
              <w:jc w:val="both"/>
              <w:rPr>
                <w:color w:val="000000"/>
                <w:lang w:val="en-US"/>
              </w:rPr>
            </w:pPr>
            <w:r w:rsidRPr="0099612B">
              <w:rPr>
                <w:color w:val="000000"/>
                <w:lang w:val="en-US"/>
              </w:rPr>
              <w:t xml:space="preserve">5. </w:t>
            </w:r>
            <w:r w:rsidR="004C2FD5" w:rsidRPr="0099612B">
              <w:rPr>
                <w:color w:val="000000"/>
                <w:lang w:val="en-US"/>
              </w:rPr>
              <w:t>To instruct Director General of the Company:</w:t>
            </w:r>
          </w:p>
          <w:p w:rsidR="004C2FD5" w:rsidRPr="0099612B" w:rsidRDefault="004C2FD5" w:rsidP="00E45FFB">
            <w:pPr>
              <w:tabs>
                <w:tab w:val="left" w:pos="204"/>
              </w:tabs>
              <w:spacing w:before="60"/>
              <w:jc w:val="both"/>
              <w:rPr>
                <w:color w:val="000000"/>
                <w:lang w:val="en-US"/>
              </w:rPr>
            </w:pPr>
            <w:r w:rsidRPr="0099612B">
              <w:rPr>
                <w:color w:val="000000"/>
                <w:lang w:val="en-US"/>
              </w:rPr>
              <w:t xml:space="preserve">5.1. </w:t>
            </w:r>
            <w:r w:rsidR="00F56028" w:rsidRPr="0099612B">
              <w:rPr>
                <w:color w:val="000000"/>
                <w:lang w:val="en-US"/>
              </w:rPr>
              <w:t xml:space="preserve">to </w:t>
            </w:r>
            <w:r w:rsidR="00272A27" w:rsidRPr="0099612B">
              <w:rPr>
                <w:color w:val="000000"/>
                <w:lang w:val="en-US"/>
              </w:rPr>
              <w:t>provide the preparation of projects of product requirements document on development of Complex programme of 35kV and higher electric grids development on the territory of Russian Federation for five years using standard documents specified in paragraph 3 of current decision of Company’s BoD;</w:t>
            </w:r>
          </w:p>
          <w:p w:rsidR="00272A27" w:rsidRPr="0099612B" w:rsidRDefault="00272A27" w:rsidP="006B1E4A">
            <w:pPr>
              <w:tabs>
                <w:tab w:val="left" w:pos="204"/>
              </w:tabs>
              <w:spacing w:before="60"/>
              <w:jc w:val="both"/>
              <w:rPr>
                <w:lang w:val="en-US"/>
              </w:rPr>
            </w:pPr>
            <w:r w:rsidRPr="0099612B">
              <w:rPr>
                <w:color w:val="000000"/>
                <w:lang w:val="en-US"/>
              </w:rPr>
              <w:t xml:space="preserve">5.2. </w:t>
            </w:r>
            <w:r w:rsidR="00127108" w:rsidRPr="0099612B">
              <w:rPr>
                <w:color w:val="000000"/>
                <w:lang w:val="en-US"/>
              </w:rPr>
              <w:t xml:space="preserve">to provide the preparation of projects of Agreements </w:t>
            </w:r>
            <w:r w:rsidR="00781058" w:rsidRPr="0099612B">
              <w:rPr>
                <w:color w:val="000000"/>
                <w:lang w:val="en-US"/>
              </w:rPr>
              <w:t xml:space="preserve">on coordination arrangements of parties to the moment of conclusion of Agreement on fulfillment of technological connection on individual project, </w:t>
            </w:r>
            <w:r w:rsidR="007C7D94" w:rsidRPr="0099612B">
              <w:rPr>
                <w:color w:val="000000"/>
                <w:lang w:val="en-US"/>
              </w:rPr>
              <w:t>projects of Agreements on fulfillment of technological connection to electric grids using standard documents approved by paragraph of current decision of Company</w:t>
            </w:r>
            <w:r w:rsidR="00BB3FFE" w:rsidRPr="0099612B">
              <w:rPr>
                <w:color w:val="000000"/>
                <w:lang w:val="en-US"/>
              </w:rPr>
              <w:t>’s BoD in accordance with current legislation (</w:t>
            </w:r>
            <w:r w:rsidR="00A24D11" w:rsidRPr="0099612B">
              <w:rPr>
                <w:color w:val="000000"/>
                <w:lang w:val="en-US"/>
              </w:rPr>
              <w:t>when concluding Agreements and Contracts specified in current paragraph</w:t>
            </w:r>
            <w:r w:rsidR="00BB3FFE" w:rsidRPr="0099612B">
              <w:rPr>
                <w:color w:val="000000"/>
                <w:lang w:val="en-US"/>
              </w:rPr>
              <w:t>)</w:t>
            </w:r>
            <w:r w:rsidR="00A24D11" w:rsidRPr="0099612B">
              <w:rPr>
                <w:color w:val="000000"/>
                <w:lang w:val="en-US"/>
              </w:rPr>
              <w:t>.</w:t>
            </w:r>
          </w:p>
        </w:tc>
      </w:tr>
      <w:tr w:rsidR="00492CAD" w:rsidRPr="00335DFA" w:rsidTr="008B313B">
        <w:tc>
          <w:tcPr>
            <w:tcW w:w="9782" w:type="dxa"/>
            <w:gridSpan w:val="2"/>
          </w:tcPr>
          <w:p w:rsidR="00492CAD" w:rsidRPr="0099612B" w:rsidRDefault="00492CAD" w:rsidP="006B1E4A">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lastRenderedPageBreak/>
              <w:t>Disclosure of insider information on item No.</w:t>
            </w:r>
            <w:r w:rsidR="00F15BDF"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2 “</w:t>
            </w:r>
            <w:r w:rsidR="004A690C" w:rsidRPr="0099612B">
              <w:rPr>
                <w:rFonts w:ascii="Times New Roman" w:hAnsi="Times New Roman" w:cs="Times New Roman"/>
                <w:b/>
                <w:color w:val="000000"/>
                <w:sz w:val="24"/>
                <w:szCs w:val="24"/>
                <w:lang w:val="en-US"/>
              </w:rPr>
              <w:t>On priority activity of the Company: on sophisticating the system of internal control and risks management, development of functions of internal audit</w:t>
            </w:r>
            <w:r w:rsidRPr="0099612B">
              <w:rPr>
                <w:rFonts w:ascii="Times New Roman" w:hAnsi="Times New Roman" w:cs="Times New Roman"/>
                <w:b/>
                <w:sz w:val="24"/>
                <w:szCs w:val="24"/>
                <w:lang w:val="en-US"/>
              </w:rPr>
              <w:t>”</w:t>
            </w:r>
            <w:r w:rsidR="006B1E4A" w:rsidRPr="0099612B">
              <w:rPr>
                <w:rFonts w:ascii="Times New Roman" w:hAnsi="Times New Roman" w:cs="Times New Roman"/>
                <w:b/>
                <w:sz w:val="24"/>
                <w:szCs w:val="24"/>
                <w:lang w:val="en-US"/>
              </w:rPr>
              <w:t>.</w:t>
            </w:r>
          </w:p>
        </w:tc>
      </w:tr>
      <w:tr w:rsidR="00492CAD" w:rsidRPr="00335DFA" w:rsidTr="008B313B">
        <w:tc>
          <w:tcPr>
            <w:tcW w:w="9782" w:type="dxa"/>
            <w:gridSpan w:val="2"/>
          </w:tcPr>
          <w:p w:rsidR="00492CAD" w:rsidRPr="0099612B" w:rsidRDefault="00492CAD" w:rsidP="00492CA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2.2.2.  Decision adopted by issuer’s Board of Directors:</w:t>
            </w:r>
          </w:p>
          <w:p w:rsidR="00492CAD" w:rsidRPr="0099612B" w:rsidRDefault="006B1E4A" w:rsidP="00B171E4">
            <w:pPr>
              <w:tabs>
                <w:tab w:val="left" w:pos="540"/>
              </w:tabs>
              <w:adjustRightInd w:val="0"/>
              <w:jc w:val="both"/>
              <w:outlineLvl w:val="3"/>
              <w:rPr>
                <w:lang w:val="en-US"/>
              </w:rPr>
            </w:pPr>
            <w:r w:rsidRPr="0099612B">
              <w:rPr>
                <w:lang w:val="en-US"/>
              </w:rPr>
              <w:t xml:space="preserve">1. </w:t>
            </w:r>
            <w:r w:rsidR="00B171E4" w:rsidRPr="0099612B">
              <w:rPr>
                <w:lang w:val="en-US"/>
              </w:rPr>
              <w:t>To determine the sophistication of system of internal control and risks management, development of functions of internal audit as priority activity of the Company.</w:t>
            </w:r>
          </w:p>
          <w:p w:rsidR="00B171E4" w:rsidRPr="0099612B" w:rsidRDefault="005D1CC0" w:rsidP="005D1CC0">
            <w:pPr>
              <w:tabs>
                <w:tab w:val="left" w:pos="540"/>
              </w:tabs>
              <w:adjustRightInd w:val="0"/>
              <w:jc w:val="both"/>
              <w:outlineLvl w:val="3"/>
              <w:rPr>
                <w:lang w:val="en-US"/>
              </w:rPr>
            </w:pPr>
            <w:r w:rsidRPr="0099612B">
              <w:rPr>
                <w:lang w:val="en-US"/>
              </w:rPr>
              <w:t>2.1. To approve the redrafted policy of internal control of “Kubanenergo” JSC in accordance with Appendix 6 to present decision of Company’s BoD.</w:t>
            </w:r>
          </w:p>
          <w:p w:rsidR="005D1CC0" w:rsidRPr="0099612B" w:rsidRDefault="005D1CC0" w:rsidP="00113C41">
            <w:pPr>
              <w:tabs>
                <w:tab w:val="left" w:pos="540"/>
              </w:tabs>
              <w:adjustRightInd w:val="0"/>
              <w:jc w:val="both"/>
              <w:outlineLvl w:val="3"/>
              <w:rPr>
                <w:lang w:val="en-US"/>
              </w:rPr>
            </w:pPr>
            <w:r w:rsidRPr="0099612B">
              <w:rPr>
                <w:lang w:val="en-US"/>
              </w:rPr>
              <w:t xml:space="preserve">2.2. </w:t>
            </w:r>
            <w:r w:rsidR="00113C41" w:rsidRPr="0099612B">
              <w:rPr>
                <w:lang w:val="en-US"/>
              </w:rPr>
              <w:t>To instruct sole executive body of the Company:</w:t>
            </w:r>
          </w:p>
          <w:p w:rsidR="007B455D" w:rsidRPr="0099612B" w:rsidRDefault="00113C41" w:rsidP="007B455D">
            <w:pPr>
              <w:tabs>
                <w:tab w:val="left" w:pos="540"/>
              </w:tabs>
              <w:adjustRightInd w:val="0"/>
              <w:jc w:val="both"/>
              <w:outlineLvl w:val="3"/>
              <w:rPr>
                <w:lang w:val="en-US"/>
              </w:rPr>
            </w:pPr>
            <w:r w:rsidRPr="0099612B">
              <w:rPr>
                <w:lang w:val="en-US"/>
              </w:rPr>
              <w:t xml:space="preserve">- </w:t>
            </w:r>
            <w:proofErr w:type="gramStart"/>
            <w:r w:rsidRPr="0099612B">
              <w:rPr>
                <w:lang w:val="en-US"/>
              </w:rPr>
              <w:t>to</w:t>
            </w:r>
            <w:proofErr w:type="gramEnd"/>
            <w:r w:rsidRPr="0099612B">
              <w:rPr>
                <w:lang w:val="en-US"/>
              </w:rPr>
              <w:t xml:space="preserve"> provide </w:t>
            </w:r>
            <w:r w:rsidR="007B455D" w:rsidRPr="0099612B">
              <w:rPr>
                <w:lang w:val="en-US"/>
              </w:rPr>
              <w:t>the fulfill of requirements of Policy of internal control of “Kubanenergo” JSC.</w:t>
            </w:r>
          </w:p>
          <w:p w:rsidR="00C82691" w:rsidRPr="0099612B" w:rsidRDefault="007B455D" w:rsidP="00C82691">
            <w:pPr>
              <w:tabs>
                <w:tab w:val="left" w:pos="540"/>
              </w:tabs>
              <w:adjustRightInd w:val="0"/>
              <w:jc w:val="both"/>
              <w:outlineLvl w:val="3"/>
              <w:rPr>
                <w:lang w:val="en-US"/>
              </w:rPr>
            </w:pPr>
            <w:r w:rsidRPr="0099612B">
              <w:rPr>
                <w:lang w:val="en-US"/>
              </w:rPr>
              <w:t xml:space="preserve">- </w:t>
            </w:r>
            <w:proofErr w:type="gramStart"/>
            <w:r w:rsidR="00C82691" w:rsidRPr="0099612B">
              <w:rPr>
                <w:lang w:val="en-US"/>
              </w:rPr>
              <w:t>to</w:t>
            </w:r>
            <w:proofErr w:type="gramEnd"/>
            <w:r w:rsidR="00C82691" w:rsidRPr="0099612B">
              <w:rPr>
                <w:lang w:val="en-US"/>
              </w:rPr>
              <w:t xml:space="preserve"> provide the discussion of item: “On consideration </w:t>
            </w:r>
            <w:r w:rsidR="00EE3C3C" w:rsidRPr="0099612B">
              <w:rPr>
                <w:lang w:val="en-US"/>
              </w:rPr>
              <w:t xml:space="preserve">of </w:t>
            </w:r>
            <w:r w:rsidR="00C82691" w:rsidRPr="0099612B">
              <w:rPr>
                <w:lang w:val="en-US"/>
              </w:rPr>
              <w:t>the Report on effectiveness of internal control system of the Company in 2014”.</w:t>
            </w:r>
          </w:p>
          <w:p w:rsidR="00113C41" w:rsidRPr="0099612B" w:rsidRDefault="00EE3C3C" w:rsidP="00EE3C3C">
            <w:pPr>
              <w:tabs>
                <w:tab w:val="left" w:pos="540"/>
              </w:tabs>
              <w:adjustRightInd w:val="0"/>
              <w:jc w:val="both"/>
              <w:outlineLvl w:val="3"/>
              <w:rPr>
                <w:lang w:val="en-US"/>
              </w:rPr>
            </w:pPr>
            <w:r w:rsidRPr="0099612B">
              <w:rPr>
                <w:lang w:val="en-US"/>
              </w:rPr>
              <w:t>By 31.03.2015.</w:t>
            </w:r>
          </w:p>
          <w:p w:rsidR="00EE3C3C" w:rsidRPr="0099612B" w:rsidRDefault="00EE3C3C" w:rsidP="00EE3C3C">
            <w:pPr>
              <w:tabs>
                <w:tab w:val="left" w:pos="540"/>
              </w:tabs>
              <w:adjustRightInd w:val="0"/>
              <w:jc w:val="both"/>
              <w:outlineLvl w:val="3"/>
              <w:rPr>
                <w:lang w:val="en-US"/>
              </w:rPr>
            </w:pPr>
            <w:r w:rsidRPr="0099612B">
              <w:rPr>
                <w:lang w:val="en-US"/>
              </w:rPr>
              <w:t xml:space="preserve">- </w:t>
            </w:r>
            <w:proofErr w:type="gramStart"/>
            <w:r w:rsidRPr="0099612B">
              <w:rPr>
                <w:lang w:val="en-US"/>
              </w:rPr>
              <w:t>to</w:t>
            </w:r>
            <w:proofErr w:type="gramEnd"/>
            <w:r w:rsidRPr="0099612B">
              <w:rPr>
                <w:lang w:val="en-US"/>
              </w:rPr>
              <w:t xml:space="preserve"> provide the discussion of item: “On consideration of the Report on effectiveness of internal control system and risks management of the Company”.</w:t>
            </w:r>
          </w:p>
          <w:p w:rsidR="00EE3C3C" w:rsidRPr="0099612B" w:rsidRDefault="00AB3DD7" w:rsidP="00EE3C3C">
            <w:pPr>
              <w:tabs>
                <w:tab w:val="left" w:pos="540"/>
              </w:tabs>
              <w:adjustRightInd w:val="0"/>
              <w:jc w:val="both"/>
              <w:outlineLvl w:val="3"/>
              <w:rPr>
                <w:lang w:val="en-US"/>
              </w:rPr>
            </w:pPr>
            <w:r w:rsidRPr="0099612B">
              <w:rPr>
                <w:lang w:val="en-US"/>
              </w:rPr>
              <w:t>Annually by March 31, as per report for 2015.</w:t>
            </w:r>
          </w:p>
          <w:p w:rsidR="00AB3DD7" w:rsidRPr="0099612B" w:rsidRDefault="00AB3DD7" w:rsidP="00EE3C3C">
            <w:pPr>
              <w:tabs>
                <w:tab w:val="left" w:pos="540"/>
              </w:tabs>
              <w:adjustRightInd w:val="0"/>
              <w:jc w:val="both"/>
              <w:outlineLvl w:val="3"/>
              <w:rPr>
                <w:lang w:val="en-US"/>
              </w:rPr>
            </w:pPr>
            <w:r w:rsidRPr="0099612B">
              <w:rPr>
                <w:lang w:val="en-US"/>
              </w:rPr>
              <w:t xml:space="preserve">2.3. </w:t>
            </w:r>
            <w:r w:rsidR="00D15952" w:rsidRPr="0099612B">
              <w:rPr>
                <w:lang w:val="en-US"/>
              </w:rPr>
              <w:t>Consider as invalid paragraph 4.2 of decision of “Kubanenergo” JSC BoD dd. 02.08.2013 on item 17 (Minutes No. 168/2013 dd. 05.08.2013).</w:t>
            </w:r>
          </w:p>
        </w:tc>
      </w:tr>
      <w:tr w:rsidR="00492CAD" w:rsidRPr="00335DFA" w:rsidTr="008B313B">
        <w:tc>
          <w:tcPr>
            <w:tcW w:w="9782" w:type="dxa"/>
            <w:gridSpan w:val="2"/>
          </w:tcPr>
          <w:p w:rsidR="00492CAD" w:rsidRPr="0099612B" w:rsidRDefault="00492CAD" w:rsidP="00214D90">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t>Disclosure of insider information on item No.</w:t>
            </w:r>
            <w:r w:rsidR="00F15BDF"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3 “</w:t>
            </w:r>
            <w:r w:rsidR="004A690C" w:rsidRPr="0099612B">
              <w:rPr>
                <w:rFonts w:ascii="Times New Roman" w:hAnsi="Times New Roman" w:cs="Times New Roman"/>
                <w:b/>
                <w:color w:val="000000"/>
                <w:sz w:val="24"/>
                <w:szCs w:val="24"/>
                <w:lang w:val="en-US"/>
              </w:rPr>
              <w:t>On approving Policy of internal audit of Kubanenergo JSC</w:t>
            </w:r>
            <w:r w:rsidRPr="0099612B">
              <w:rPr>
                <w:rFonts w:ascii="Times New Roman" w:hAnsi="Times New Roman" w:cs="Times New Roman"/>
                <w:b/>
                <w:sz w:val="24"/>
                <w:szCs w:val="24"/>
                <w:lang w:val="en-US"/>
              </w:rPr>
              <w:t>”</w:t>
            </w:r>
          </w:p>
        </w:tc>
      </w:tr>
      <w:tr w:rsidR="00492CAD" w:rsidRPr="00335DFA" w:rsidTr="008B313B">
        <w:tc>
          <w:tcPr>
            <w:tcW w:w="9782" w:type="dxa"/>
            <w:gridSpan w:val="2"/>
          </w:tcPr>
          <w:p w:rsidR="00492CAD" w:rsidRPr="0099612B" w:rsidRDefault="00492CAD" w:rsidP="00492CA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2.2.3.  Decision adopted by issuer’s Board of Directors:</w:t>
            </w:r>
          </w:p>
          <w:p w:rsidR="00A508E7" w:rsidRPr="0099612B" w:rsidRDefault="00214D90" w:rsidP="006403F4">
            <w:pPr>
              <w:pStyle w:val="a7"/>
              <w:tabs>
                <w:tab w:val="left" w:pos="204"/>
              </w:tabs>
              <w:spacing w:before="60"/>
              <w:ind w:left="0"/>
              <w:jc w:val="both"/>
              <w:rPr>
                <w:lang w:val="en-US" w:eastAsia="en-US"/>
              </w:rPr>
            </w:pPr>
            <w:r w:rsidRPr="0099612B">
              <w:rPr>
                <w:lang w:val="en-US" w:eastAsia="en-US"/>
              </w:rPr>
              <w:t xml:space="preserve">1. </w:t>
            </w:r>
            <w:r w:rsidR="006403F4" w:rsidRPr="0099612B">
              <w:rPr>
                <w:lang w:val="en-US" w:eastAsia="en-US"/>
              </w:rPr>
              <w:t xml:space="preserve">To approve the Policy of internal </w:t>
            </w:r>
            <w:r w:rsidR="007D05D0" w:rsidRPr="0099612B">
              <w:rPr>
                <w:lang w:val="en-US" w:eastAsia="en-US"/>
              </w:rPr>
              <w:t>audit</w:t>
            </w:r>
            <w:r w:rsidR="006403F4" w:rsidRPr="0099612B">
              <w:rPr>
                <w:lang w:val="en-US" w:eastAsia="en-US"/>
              </w:rPr>
              <w:t xml:space="preserve"> of “Kubanenergo” JSC in accordance with Appendix 7 to present decision of Company’s BoD.</w:t>
            </w:r>
          </w:p>
          <w:p w:rsidR="006403F4" w:rsidRPr="0099612B" w:rsidRDefault="006403F4" w:rsidP="006403F4">
            <w:pPr>
              <w:pStyle w:val="a7"/>
              <w:tabs>
                <w:tab w:val="left" w:pos="204"/>
              </w:tabs>
              <w:spacing w:before="60"/>
              <w:ind w:left="0"/>
              <w:jc w:val="both"/>
              <w:rPr>
                <w:lang w:val="en-US" w:eastAsia="en-US"/>
              </w:rPr>
            </w:pPr>
            <w:r w:rsidRPr="0099612B">
              <w:rPr>
                <w:lang w:val="en-US" w:eastAsia="en-US"/>
              </w:rPr>
              <w:t xml:space="preserve">2. </w:t>
            </w:r>
            <w:r w:rsidR="007D05D0" w:rsidRPr="0099612B">
              <w:rPr>
                <w:lang w:val="en-US" w:eastAsia="en-US"/>
              </w:rPr>
              <w:t>To instruct sole executive body of the Company:</w:t>
            </w:r>
          </w:p>
          <w:p w:rsidR="007D05D0" w:rsidRPr="0099612B" w:rsidRDefault="007D05D0" w:rsidP="00D307EA">
            <w:pPr>
              <w:pStyle w:val="a7"/>
              <w:tabs>
                <w:tab w:val="left" w:pos="204"/>
              </w:tabs>
              <w:spacing w:before="60"/>
              <w:ind w:left="0"/>
              <w:jc w:val="both"/>
              <w:rPr>
                <w:lang w:val="en-US" w:eastAsia="en-US"/>
              </w:rPr>
            </w:pPr>
            <w:r w:rsidRPr="0099612B">
              <w:rPr>
                <w:lang w:val="en-US" w:eastAsia="en-US"/>
              </w:rPr>
              <w:t xml:space="preserve">2.1. </w:t>
            </w:r>
            <w:proofErr w:type="gramStart"/>
            <w:r w:rsidR="005854EB" w:rsidRPr="0099612B">
              <w:rPr>
                <w:lang w:val="en-US" w:eastAsia="en-US"/>
              </w:rPr>
              <w:t>to</w:t>
            </w:r>
            <w:proofErr w:type="gramEnd"/>
            <w:r w:rsidR="005854EB" w:rsidRPr="0099612B">
              <w:rPr>
                <w:lang w:val="en-US" w:eastAsia="en-US"/>
              </w:rPr>
              <w:t xml:space="preserve"> provide </w:t>
            </w:r>
            <w:r w:rsidR="00D307EA" w:rsidRPr="0099612B">
              <w:rPr>
                <w:lang w:val="en-US" w:eastAsia="en-US"/>
              </w:rPr>
              <w:t>the fulfillment of requirements of Policy of internal audit of “Kubanenergo” JSC.</w:t>
            </w:r>
          </w:p>
          <w:p w:rsidR="00D307EA" w:rsidRPr="0099612B" w:rsidRDefault="00D307EA" w:rsidP="00D307EA">
            <w:pPr>
              <w:pStyle w:val="a7"/>
              <w:tabs>
                <w:tab w:val="left" w:pos="204"/>
              </w:tabs>
              <w:spacing w:before="60"/>
              <w:ind w:left="0"/>
              <w:jc w:val="both"/>
              <w:rPr>
                <w:lang w:val="en-US" w:eastAsia="en-US"/>
              </w:rPr>
            </w:pPr>
            <w:r w:rsidRPr="0099612B">
              <w:rPr>
                <w:lang w:val="en-US" w:eastAsia="en-US"/>
              </w:rPr>
              <w:t xml:space="preserve">2.2. </w:t>
            </w:r>
            <w:proofErr w:type="gramStart"/>
            <w:r w:rsidR="00EB7890" w:rsidRPr="0099612B">
              <w:rPr>
                <w:lang w:val="en-US" w:eastAsia="en-US"/>
              </w:rPr>
              <w:t>to</w:t>
            </w:r>
            <w:proofErr w:type="gramEnd"/>
            <w:r w:rsidR="00EB7890" w:rsidRPr="0099612B">
              <w:rPr>
                <w:lang w:val="en-US" w:eastAsia="en-US"/>
              </w:rPr>
              <w:t xml:space="preserve"> organize preparation and provide the discussion of results of performance evaluation of function of internal audit as part of consideration of Report in effectiveness of internal control system and risks management of the Company.</w:t>
            </w:r>
          </w:p>
          <w:p w:rsidR="00EB7890" w:rsidRPr="0099612B" w:rsidRDefault="00161CC9" w:rsidP="00161CC9">
            <w:pPr>
              <w:tabs>
                <w:tab w:val="left" w:pos="540"/>
              </w:tabs>
              <w:adjustRightInd w:val="0"/>
              <w:jc w:val="both"/>
              <w:outlineLvl w:val="3"/>
              <w:rPr>
                <w:lang w:val="en-US"/>
              </w:rPr>
            </w:pPr>
            <w:r w:rsidRPr="0099612B">
              <w:rPr>
                <w:lang w:val="en-US"/>
              </w:rPr>
              <w:t>Annually by March 31, as per report for 2015.</w:t>
            </w:r>
          </w:p>
        </w:tc>
      </w:tr>
      <w:tr w:rsidR="00492CAD" w:rsidRPr="00335DFA" w:rsidTr="008B313B">
        <w:tc>
          <w:tcPr>
            <w:tcW w:w="9782" w:type="dxa"/>
            <w:gridSpan w:val="2"/>
          </w:tcPr>
          <w:p w:rsidR="00492CAD" w:rsidRPr="0099612B" w:rsidRDefault="00492CAD" w:rsidP="001F2453">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t>Disclosure of insider information on item No.</w:t>
            </w:r>
            <w:r w:rsidR="00F15BDF"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4 “</w:t>
            </w:r>
            <w:r w:rsidR="004A690C" w:rsidRPr="0099612B">
              <w:rPr>
                <w:rFonts w:ascii="Times New Roman" w:hAnsi="Times New Roman" w:cs="Times New Roman"/>
                <w:b/>
                <w:color w:val="000000"/>
                <w:sz w:val="24"/>
                <w:szCs w:val="24"/>
                <w:lang w:val="en-US"/>
              </w:rPr>
              <w:t>On approving restated Policy of risks management of Kubanenergo JSC</w:t>
            </w:r>
            <w:r w:rsidRPr="0099612B">
              <w:rPr>
                <w:rFonts w:ascii="Times New Roman" w:hAnsi="Times New Roman" w:cs="Times New Roman"/>
                <w:b/>
                <w:sz w:val="24"/>
                <w:szCs w:val="24"/>
                <w:lang w:val="en-US"/>
              </w:rPr>
              <w:t>”</w:t>
            </w:r>
          </w:p>
        </w:tc>
      </w:tr>
      <w:tr w:rsidR="00492CAD" w:rsidRPr="00335DFA" w:rsidTr="008B313B">
        <w:tc>
          <w:tcPr>
            <w:tcW w:w="9782" w:type="dxa"/>
            <w:gridSpan w:val="2"/>
          </w:tcPr>
          <w:p w:rsidR="00492CAD" w:rsidRPr="0099612B" w:rsidRDefault="00492CAD" w:rsidP="00492CA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2.2.4.  Decision adopted by issuer’s Board of Directors:</w:t>
            </w:r>
          </w:p>
          <w:p w:rsidR="00075975" w:rsidRPr="0099612B" w:rsidRDefault="001F2453" w:rsidP="00CB1BEB">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1. </w:t>
            </w:r>
            <w:r w:rsidR="009B07E5" w:rsidRPr="0099612B">
              <w:rPr>
                <w:rFonts w:ascii="Times New Roman" w:hAnsi="Times New Roman" w:cs="Times New Roman"/>
                <w:sz w:val="24"/>
                <w:szCs w:val="24"/>
                <w:lang w:val="en-US"/>
              </w:rPr>
              <w:t>To approve the redrafted Policy of risks management of “Kubanenergo” JSC in accordance with Appendix 8 to present decision of Company’s BoD.</w:t>
            </w:r>
          </w:p>
          <w:p w:rsidR="009B07E5" w:rsidRPr="0099612B" w:rsidRDefault="009B07E5" w:rsidP="00CB1BEB">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 </w:t>
            </w:r>
            <w:r w:rsidR="0090764B" w:rsidRPr="0099612B">
              <w:rPr>
                <w:rFonts w:ascii="Times New Roman" w:hAnsi="Times New Roman" w:cs="Times New Roman"/>
                <w:sz w:val="24"/>
                <w:szCs w:val="24"/>
                <w:lang w:val="en-US"/>
              </w:rPr>
              <w:t>To instruct sole executive body of the Company:</w:t>
            </w:r>
          </w:p>
          <w:p w:rsidR="0090764B" w:rsidRPr="0099612B" w:rsidRDefault="0090764B" w:rsidP="00CB1BEB">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2.1. </w:t>
            </w:r>
            <w:r w:rsidR="007567E3" w:rsidRPr="0099612B">
              <w:rPr>
                <w:rFonts w:ascii="Times New Roman" w:hAnsi="Times New Roman" w:cs="Times New Roman"/>
                <w:sz w:val="24"/>
                <w:szCs w:val="24"/>
                <w:lang w:val="en-US"/>
              </w:rPr>
              <w:t>To provide the fulfillment of requirements of Policy of risks management of “Kubanenergo” JSC.</w:t>
            </w:r>
          </w:p>
          <w:p w:rsidR="007567E3" w:rsidRPr="0099612B" w:rsidRDefault="007567E3" w:rsidP="006F7907">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lastRenderedPageBreak/>
              <w:t xml:space="preserve">2.2. </w:t>
            </w:r>
            <w:r w:rsidR="006F7907" w:rsidRPr="0099612B">
              <w:rPr>
                <w:rFonts w:ascii="Times New Roman" w:hAnsi="Times New Roman" w:cs="Times New Roman"/>
                <w:sz w:val="24"/>
                <w:szCs w:val="24"/>
                <w:lang w:val="en-US"/>
              </w:rPr>
              <w:t xml:space="preserve">To provide the inclusion in job descriptions of Company’s </w:t>
            </w:r>
            <w:r w:rsidR="00A33ACB" w:rsidRPr="0099612B">
              <w:rPr>
                <w:rFonts w:ascii="Times New Roman" w:hAnsi="Times New Roman" w:cs="Times New Roman"/>
                <w:sz w:val="24"/>
                <w:szCs w:val="24"/>
                <w:lang w:val="en-US"/>
              </w:rPr>
              <w:t>employees</w:t>
            </w:r>
            <w:r w:rsidR="006F7907" w:rsidRPr="0099612B">
              <w:rPr>
                <w:rFonts w:ascii="Times New Roman" w:hAnsi="Times New Roman" w:cs="Times New Roman"/>
                <w:sz w:val="24"/>
                <w:szCs w:val="24"/>
                <w:lang w:val="en-US"/>
              </w:rPr>
              <w:t xml:space="preserve"> and (or) in organizational-administrative documents of the Company, determining the authorities of deputies of Company’s Director General and heads of Company’s structural subdivision</w:t>
            </w:r>
            <w:r w:rsidR="007D3EA1" w:rsidRPr="0099612B">
              <w:rPr>
                <w:rFonts w:ascii="Times New Roman" w:hAnsi="Times New Roman" w:cs="Times New Roman"/>
                <w:sz w:val="24"/>
                <w:szCs w:val="24"/>
                <w:lang w:val="en-US"/>
              </w:rPr>
              <w:t>, of immediate subordination to Company’s Director General the following functions:</w:t>
            </w:r>
          </w:p>
          <w:p w:rsidR="007A125D" w:rsidRPr="0099612B" w:rsidRDefault="00A33ACB" w:rsidP="007A125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 </w:t>
            </w:r>
            <w:r w:rsidR="007A125D" w:rsidRPr="0099612B">
              <w:rPr>
                <w:rFonts w:ascii="Times New Roman" w:hAnsi="Times New Roman" w:cs="Times New Roman"/>
                <w:sz w:val="24"/>
                <w:szCs w:val="24"/>
                <w:lang w:val="en-US"/>
              </w:rPr>
              <w:t>organization of effective control environment of oversee processes (Company’s activity area);</w:t>
            </w:r>
          </w:p>
          <w:p w:rsidR="007D3EA1" w:rsidRPr="0099612B" w:rsidRDefault="007A125D" w:rsidP="00074DC5">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 </w:t>
            </w:r>
            <w:r w:rsidR="00074DC5" w:rsidRPr="0099612B">
              <w:rPr>
                <w:rFonts w:ascii="Times New Roman" w:hAnsi="Times New Roman" w:cs="Times New Roman"/>
                <w:sz w:val="24"/>
                <w:szCs w:val="24"/>
                <w:lang w:val="en-US"/>
              </w:rPr>
              <w:t>providing of achieving of operational goals</w:t>
            </w:r>
            <w:r w:rsidRPr="0099612B">
              <w:rPr>
                <w:rFonts w:ascii="Times New Roman" w:hAnsi="Times New Roman" w:cs="Times New Roman"/>
                <w:sz w:val="24"/>
                <w:szCs w:val="24"/>
                <w:lang w:val="en-US"/>
              </w:rPr>
              <w:t xml:space="preserve"> </w:t>
            </w:r>
            <w:r w:rsidR="00074DC5" w:rsidRPr="0099612B">
              <w:rPr>
                <w:rFonts w:ascii="Times New Roman" w:hAnsi="Times New Roman" w:cs="Times New Roman"/>
                <w:sz w:val="24"/>
                <w:szCs w:val="24"/>
                <w:lang w:val="en-US"/>
              </w:rPr>
              <w:t>of oversee processes (Company’s activity area);</w:t>
            </w:r>
          </w:p>
          <w:p w:rsidR="00074DC5" w:rsidRPr="0099612B" w:rsidRDefault="00074DC5" w:rsidP="00074DC5">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 </w:t>
            </w:r>
            <w:r w:rsidR="00231836" w:rsidRPr="0099612B">
              <w:rPr>
                <w:rFonts w:ascii="Times New Roman" w:hAnsi="Times New Roman" w:cs="Times New Roman"/>
                <w:sz w:val="24"/>
                <w:szCs w:val="24"/>
                <w:lang w:val="en-US"/>
              </w:rPr>
              <w:t>providing of systematical risks condition monitoring of oversee processes (Company’s activity area);</w:t>
            </w:r>
          </w:p>
          <w:p w:rsidR="00231836" w:rsidRPr="0099612B" w:rsidRDefault="00DF7F75" w:rsidP="00DF7F75">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providing of timely update of risks of oversee processes (Company’s activity area);</w:t>
            </w:r>
          </w:p>
          <w:p w:rsidR="00DF7F75" w:rsidRPr="0099612B" w:rsidRDefault="00542FCA" w:rsidP="00DF7F75">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 </w:t>
            </w:r>
            <w:r w:rsidR="00D17963" w:rsidRPr="0099612B">
              <w:rPr>
                <w:rFonts w:ascii="Times New Roman" w:hAnsi="Times New Roman" w:cs="Times New Roman"/>
                <w:sz w:val="24"/>
                <w:szCs w:val="24"/>
                <w:lang w:val="en-US"/>
              </w:rPr>
              <w:t xml:space="preserve">providing of fulfillment quarterly analysis and factors arranging, </w:t>
            </w:r>
            <w:r w:rsidR="009C65B5" w:rsidRPr="0099612B">
              <w:rPr>
                <w:rFonts w:ascii="Times New Roman" w:hAnsi="Times New Roman" w:cs="Times New Roman"/>
                <w:sz w:val="24"/>
                <w:szCs w:val="24"/>
                <w:lang w:val="en-US"/>
              </w:rPr>
              <w:t>causing risks realization of oversee processes (Company’s activity area);</w:t>
            </w:r>
          </w:p>
          <w:p w:rsidR="009C65B5" w:rsidRPr="0099612B" w:rsidRDefault="009B6AD1" w:rsidP="00DF7F75">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 </w:t>
            </w:r>
            <w:proofErr w:type="gramStart"/>
            <w:r w:rsidR="004E2032" w:rsidRPr="0099612B">
              <w:rPr>
                <w:rFonts w:ascii="Times New Roman" w:hAnsi="Times New Roman" w:cs="Times New Roman"/>
                <w:sz w:val="24"/>
                <w:szCs w:val="24"/>
                <w:lang w:val="en-US"/>
              </w:rPr>
              <w:t>organization</w:t>
            </w:r>
            <w:proofErr w:type="gramEnd"/>
            <w:r w:rsidR="004E2032" w:rsidRPr="0099612B">
              <w:rPr>
                <w:rFonts w:ascii="Times New Roman" w:hAnsi="Times New Roman" w:cs="Times New Roman"/>
                <w:sz w:val="24"/>
                <w:szCs w:val="24"/>
                <w:lang w:val="en-US"/>
              </w:rPr>
              <w:t xml:space="preserve"> of development and taking measures on risks management of oversee processes (Company’s activity area).</w:t>
            </w:r>
          </w:p>
          <w:p w:rsidR="004E2032" w:rsidRPr="0099612B" w:rsidRDefault="004E2032" w:rsidP="00A9594F">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2.3. </w:t>
            </w:r>
            <w:r w:rsidR="00A21965" w:rsidRPr="0099612B">
              <w:rPr>
                <w:rFonts w:ascii="Times New Roman" w:hAnsi="Times New Roman" w:cs="Times New Roman"/>
                <w:sz w:val="24"/>
                <w:szCs w:val="24"/>
                <w:lang w:val="en-US"/>
              </w:rPr>
              <w:t>To provide the consideration by Company’s BoD the following item: “</w:t>
            </w:r>
            <w:r w:rsidR="00BE7A16" w:rsidRPr="0099612B">
              <w:rPr>
                <w:rFonts w:ascii="Times New Roman" w:hAnsi="Times New Roman" w:cs="Times New Roman"/>
                <w:sz w:val="24"/>
                <w:szCs w:val="24"/>
                <w:lang w:val="en-US"/>
              </w:rPr>
              <w:t>On approving Registry of key operational risks of the Company</w:t>
            </w:r>
            <w:r w:rsidR="00A21965" w:rsidRPr="0099612B">
              <w:rPr>
                <w:rFonts w:ascii="Times New Roman" w:hAnsi="Times New Roman" w:cs="Times New Roman"/>
                <w:sz w:val="24"/>
                <w:szCs w:val="24"/>
                <w:lang w:val="en-US"/>
              </w:rPr>
              <w:t>”</w:t>
            </w:r>
            <w:r w:rsidR="00BE7A16" w:rsidRPr="0099612B">
              <w:rPr>
                <w:rFonts w:ascii="Times New Roman" w:hAnsi="Times New Roman" w:cs="Times New Roman"/>
                <w:sz w:val="24"/>
                <w:szCs w:val="24"/>
                <w:lang w:val="en-US"/>
              </w:rPr>
              <w:t xml:space="preserve">, </w:t>
            </w:r>
            <w:r w:rsidR="00F30F48" w:rsidRPr="0099612B">
              <w:rPr>
                <w:rFonts w:ascii="Times New Roman" w:hAnsi="Times New Roman" w:cs="Times New Roman"/>
                <w:sz w:val="24"/>
                <w:szCs w:val="24"/>
                <w:lang w:val="en-US"/>
              </w:rPr>
              <w:t>with appointment of risk owners (</w:t>
            </w:r>
            <w:r w:rsidR="00A9594F" w:rsidRPr="0099612B">
              <w:rPr>
                <w:rFonts w:ascii="Times New Roman" w:hAnsi="Times New Roman" w:cs="Times New Roman"/>
                <w:sz w:val="24"/>
                <w:szCs w:val="24"/>
                <w:lang w:val="en-US"/>
              </w:rPr>
              <w:t>with preliminary consideration and approving of Registry at meeting of Committee on audit of Company’s BoD</w:t>
            </w:r>
            <w:r w:rsidR="00F30F48" w:rsidRPr="0099612B">
              <w:rPr>
                <w:rFonts w:ascii="Times New Roman" w:hAnsi="Times New Roman" w:cs="Times New Roman"/>
                <w:sz w:val="24"/>
                <w:szCs w:val="24"/>
                <w:lang w:val="en-US"/>
              </w:rPr>
              <w:t>)</w:t>
            </w:r>
            <w:r w:rsidR="00A9594F" w:rsidRPr="0099612B">
              <w:rPr>
                <w:rFonts w:ascii="Times New Roman" w:hAnsi="Times New Roman" w:cs="Times New Roman"/>
                <w:sz w:val="24"/>
                <w:szCs w:val="24"/>
                <w:lang w:val="en-US"/>
              </w:rPr>
              <w:t>.</w:t>
            </w:r>
          </w:p>
          <w:p w:rsidR="00130631" w:rsidRPr="0099612B" w:rsidRDefault="00130631" w:rsidP="00130631">
            <w:pPr>
              <w:tabs>
                <w:tab w:val="left" w:pos="540"/>
              </w:tabs>
              <w:adjustRightInd w:val="0"/>
              <w:jc w:val="both"/>
              <w:outlineLvl w:val="3"/>
              <w:rPr>
                <w:lang w:val="en-US"/>
              </w:rPr>
            </w:pPr>
            <w:r w:rsidRPr="0099612B">
              <w:rPr>
                <w:lang w:val="en-US"/>
              </w:rPr>
              <w:t>By 31.09.2014.</w:t>
            </w:r>
          </w:p>
          <w:p w:rsidR="00A9594F" w:rsidRPr="0099612B" w:rsidRDefault="00130631" w:rsidP="0090260E">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2.4.</w:t>
            </w:r>
            <w:r w:rsidR="007B612B" w:rsidRPr="0099612B">
              <w:rPr>
                <w:rFonts w:ascii="Times New Roman" w:hAnsi="Times New Roman" w:cs="Times New Roman"/>
                <w:sz w:val="24"/>
                <w:szCs w:val="24"/>
                <w:lang w:val="en-US"/>
              </w:rPr>
              <w:t xml:space="preserve"> </w:t>
            </w:r>
            <w:r w:rsidR="0090260E" w:rsidRPr="0099612B">
              <w:rPr>
                <w:rFonts w:ascii="Times New Roman" w:hAnsi="Times New Roman" w:cs="Times New Roman"/>
                <w:sz w:val="24"/>
                <w:szCs w:val="24"/>
                <w:lang w:val="en-US"/>
              </w:rPr>
              <w:t xml:space="preserve">To provide the approving in the Company “Registry of operational risks of Company’s key business processes”, with appointment of risk owners </w:t>
            </w:r>
            <w:r w:rsidR="00705271" w:rsidRPr="0099612B">
              <w:rPr>
                <w:rFonts w:ascii="Times New Roman" w:hAnsi="Times New Roman" w:cs="Times New Roman"/>
                <w:sz w:val="24"/>
                <w:szCs w:val="24"/>
                <w:lang w:val="en-US"/>
              </w:rPr>
              <w:t xml:space="preserve">that should occupy position not lower than deputy Director General and (or) </w:t>
            </w:r>
            <w:r w:rsidR="007E4BA4" w:rsidRPr="0099612B">
              <w:rPr>
                <w:rFonts w:ascii="Times New Roman" w:hAnsi="Times New Roman" w:cs="Times New Roman"/>
                <w:sz w:val="24"/>
                <w:szCs w:val="24"/>
                <w:lang w:val="en-US"/>
              </w:rPr>
              <w:t xml:space="preserve">head of structural subdivision of immediate subordination to Company’s Director General </w:t>
            </w:r>
            <w:r w:rsidR="008B422B" w:rsidRPr="0099612B">
              <w:rPr>
                <w:rFonts w:ascii="Times New Roman" w:hAnsi="Times New Roman" w:cs="Times New Roman"/>
                <w:sz w:val="24"/>
                <w:szCs w:val="24"/>
                <w:lang w:val="en-US"/>
              </w:rPr>
              <w:t>(with preliminary consideration and approving of Registry at meeting of Committee on audit of Company’s BoD).</w:t>
            </w:r>
          </w:p>
          <w:p w:rsidR="008B422B" w:rsidRPr="0099612B" w:rsidRDefault="008B422B" w:rsidP="008B422B">
            <w:pPr>
              <w:tabs>
                <w:tab w:val="left" w:pos="540"/>
              </w:tabs>
              <w:adjustRightInd w:val="0"/>
              <w:jc w:val="both"/>
              <w:outlineLvl w:val="3"/>
              <w:rPr>
                <w:lang w:val="en-US"/>
              </w:rPr>
            </w:pPr>
            <w:r w:rsidRPr="0099612B">
              <w:rPr>
                <w:lang w:val="en-US"/>
              </w:rPr>
              <w:t>By 31.09.2014.</w:t>
            </w:r>
          </w:p>
          <w:p w:rsidR="008B422B" w:rsidRPr="0099612B" w:rsidRDefault="008B422B" w:rsidP="009A244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2.5. </w:t>
            </w:r>
            <w:r w:rsidR="009A244D" w:rsidRPr="0099612B">
              <w:rPr>
                <w:rFonts w:ascii="Times New Roman" w:hAnsi="Times New Roman" w:cs="Times New Roman"/>
                <w:sz w:val="24"/>
                <w:szCs w:val="24"/>
                <w:lang w:val="en-US"/>
              </w:rPr>
              <w:t>To provide the approving in the Company “Registry of operational risks of Company’s other business processes”, with appointment of risk owners that should occupy position not lower than deputy Director General and (or) head of structural subdivision of immediate subordination to Company’s Director General (with preliminary consideration and approving of Registry at meeting of Committee on audit of Company’s BoD).</w:t>
            </w:r>
          </w:p>
          <w:p w:rsidR="002E2D86" w:rsidRPr="0099612B" w:rsidRDefault="002E2D86" w:rsidP="002E2D86">
            <w:pPr>
              <w:tabs>
                <w:tab w:val="left" w:pos="540"/>
              </w:tabs>
              <w:adjustRightInd w:val="0"/>
              <w:jc w:val="both"/>
              <w:outlineLvl w:val="3"/>
              <w:rPr>
                <w:lang w:val="en-US"/>
              </w:rPr>
            </w:pPr>
            <w:r w:rsidRPr="0099612B">
              <w:rPr>
                <w:lang w:val="en-US"/>
              </w:rPr>
              <w:t>By 31.12.2014.</w:t>
            </w:r>
          </w:p>
          <w:p w:rsidR="009A244D" w:rsidRPr="0099612B" w:rsidRDefault="009A244D" w:rsidP="009A244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2.6. </w:t>
            </w:r>
            <w:r w:rsidR="008C760A" w:rsidRPr="0099612B">
              <w:rPr>
                <w:rFonts w:ascii="Times New Roman" w:hAnsi="Times New Roman" w:cs="Times New Roman"/>
                <w:sz w:val="24"/>
                <w:szCs w:val="24"/>
                <w:lang w:val="en-US"/>
              </w:rPr>
              <w:t xml:space="preserve">To organize the preparation and quarterly consideration by Company’s BoD the following item: “On consideration the Report </w:t>
            </w:r>
            <w:r w:rsidR="00DA63A2" w:rsidRPr="0099612B">
              <w:rPr>
                <w:rFonts w:ascii="Times New Roman" w:hAnsi="Times New Roman" w:cs="Times New Roman"/>
                <w:sz w:val="24"/>
                <w:szCs w:val="24"/>
                <w:lang w:val="en-US"/>
              </w:rPr>
              <w:t>of risks owners on managing operational risks of the Company</w:t>
            </w:r>
            <w:r w:rsidR="008C760A" w:rsidRPr="0099612B">
              <w:rPr>
                <w:rFonts w:ascii="Times New Roman" w:hAnsi="Times New Roman" w:cs="Times New Roman"/>
                <w:sz w:val="24"/>
                <w:szCs w:val="24"/>
                <w:lang w:val="en-US"/>
              </w:rPr>
              <w:t>”</w:t>
            </w:r>
            <w:r w:rsidR="00DA63A2" w:rsidRPr="0099612B">
              <w:rPr>
                <w:rFonts w:ascii="Times New Roman" w:hAnsi="Times New Roman" w:cs="Times New Roman"/>
                <w:sz w:val="24"/>
                <w:szCs w:val="24"/>
                <w:lang w:val="en-US"/>
              </w:rPr>
              <w:t>.</w:t>
            </w:r>
          </w:p>
          <w:p w:rsidR="00DA63A2" w:rsidRPr="0099612B" w:rsidRDefault="00DA63A2" w:rsidP="00DA63A2">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Deadline: Quarterly, by 30</w:t>
            </w:r>
            <w:r w:rsidRPr="0099612B">
              <w:rPr>
                <w:rFonts w:ascii="Times New Roman" w:hAnsi="Times New Roman" w:cs="Times New Roman"/>
                <w:sz w:val="24"/>
                <w:szCs w:val="24"/>
                <w:vertAlign w:val="superscript"/>
                <w:lang w:val="en-US"/>
              </w:rPr>
              <w:t>th</w:t>
            </w:r>
            <w:r w:rsidRPr="0099612B">
              <w:rPr>
                <w:rFonts w:ascii="Times New Roman" w:hAnsi="Times New Roman" w:cs="Times New Roman"/>
                <w:sz w:val="24"/>
                <w:szCs w:val="24"/>
                <w:lang w:val="en-US"/>
              </w:rPr>
              <w:t xml:space="preserve"> of every month after reporting quarter.</w:t>
            </w:r>
          </w:p>
          <w:p w:rsidR="009B6697" w:rsidRPr="0099612B" w:rsidRDefault="00DA63A2" w:rsidP="000E74CC">
            <w:pPr>
              <w:pStyle w:val="a3"/>
              <w:spacing w:before="60"/>
              <w:jc w:val="both"/>
              <w:rPr>
                <w:rFonts w:ascii="Times New Roman" w:eastAsia="Calibri" w:hAnsi="Times New Roman" w:cs="Times New Roman"/>
                <w:lang w:val="en-US"/>
              </w:rPr>
            </w:pPr>
            <w:r w:rsidRPr="0099612B">
              <w:rPr>
                <w:rFonts w:ascii="Times New Roman" w:hAnsi="Times New Roman" w:cs="Times New Roman"/>
                <w:sz w:val="24"/>
                <w:szCs w:val="24"/>
                <w:lang w:val="en-US"/>
              </w:rPr>
              <w:t xml:space="preserve">2.7. </w:t>
            </w:r>
            <w:r w:rsidR="009B6697" w:rsidRPr="0099612B">
              <w:rPr>
                <w:rFonts w:ascii="Times New Roman" w:hAnsi="Times New Roman" w:cs="Times New Roman"/>
                <w:sz w:val="24"/>
                <w:szCs w:val="24"/>
                <w:lang w:val="en-US"/>
              </w:rPr>
              <w:t xml:space="preserve">To organize the preparation and </w:t>
            </w:r>
            <w:r w:rsidR="000E74CC" w:rsidRPr="0099612B">
              <w:rPr>
                <w:rFonts w:ascii="Times New Roman" w:hAnsi="Times New Roman" w:cs="Times New Roman"/>
                <w:sz w:val="24"/>
                <w:szCs w:val="24"/>
                <w:lang w:val="en-US"/>
              </w:rPr>
              <w:t xml:space="preserve">provide consideration by the Audit Committee the item: “On taking into consideration the report of sole executive body on management of key risks </w:t>
            </w:r>
            <w:proofErr w:type="spellStart"/>
            <w:r w:rsidR="000E74CC" w:rsidRPr="0099612B">
              <w:rPr>
                <w:rFonts w:ascii="Times New Roman" w:hAnsi="Times New Roman" w:cs="Times New Roman"/>
                <w:sz w:val="24"/>
                <w:szCs w:val="24"/>
                <w:lang w:val="en-US"/>
              </w:rPr>
              <w:t>pf</w:t>
            </w:r>
            <w:proofErr w:type="spellEnd"/>
            <w:r w:rsidR="000E74CC" w:rsidRPr="0099612B">
              <w:rPr>
                <w:rFonts w:ascii="Times New Roman" w:hAnsi="Times New Roman" w:cs="Times New Roman"/>
                <w:sz w:val="24"/>
                <w:szCs w:val="24"/>
                <w:lang w:val="en-US"/>
              </w:rPr>
              <w:t xml:space="preserve"> the Company in the 1</w:t>
            </w:r>
            <w:r w:rsidR="000E74CC" w:rsidRPr="0099612B">
              <w:rPr>
                <w:rFonts w:ascii="Times New Roman" w:hAnsi="Times New Roman" w:cs="Times New Roman"/>
                <w:sz w:val="24"/>
                <w:szCs w:val="24"/>
                <w:vertAlign w:val="superscript"/>
                <w:lang w:val="en-US"/>
              </w:rPr>
              <w:t>st</w:t>
            </w:r>
            <w:r w:rsidR="000E74CC" w:rsidRPr="0099612B">
              <w:rPr>
                <w:rFonts w:ascii="Times New Roman" w:hAnsi="Times New Roman" w:cs="Times New Roman"/>
                <w:sz w:val="24"/>
                <w:szCs w:val="24"/>
                <w:lang w:val="en-US"/>
              </w:rPr>
              <w:t xml:space="preserve"> half year”</w:t>
            </w:r>
            <w:r w:rsidR="009B6697" w:rsidRPr="0099612B">
              <w:rPr>
                <w:rFonts w:ascii="Times New Roman" w:eastAsia="Calibri" w:hAnsi="Times New Roman" w:cs="Times New Roman"/>
                <w:lang w:val="en-US"/>
              </w:rPr>
              <w:t>.</w:t>
            </w:r>
          </w:p>
          <w:p w:rsidR="009B6697" w:rsidRPr="0099612B" w:rsidRDefault="000E74CC" w:rsidP="000E74CC">
            <w:pPr>
              <w:rPr>
                <w:rFonts w:eastAsia="Calibri"/>
                <w:lang w:val="en-US"/>
              </w:rPr>
            </w:pPr>
            <w:r w:rsidRPr="0099612B">
              <w:rPr>
                <w:rFonts w:eastAsia="Calibri"/>
                <w:lang w:val="en-US"/>
              </w:rPr>
              <w:t>Term</w:t>
            </w:r>
            <w:r w:rsidR="009B6697" w:rsidRPr="0099612B">
              <w:rPr>
                <w:rFonts w:eastAsia="Calibri"/>
                <w:lang w:val="en-US"/>
              </w:rPr>
              <w:t xml:space="preserve">: </w:t>
            </w:r>
            <w:r w:rsidRPr="0099612B">
              <w:rPr>
                <w:rFonts w:eastAsia="Calibri"/>
                <w:lang w:val="en-US"/>
              </w:rPr>
              <w:t>annually by the 31th August</w:t>
            </w:r>
            <w:r w:rsidR="009B6697" w:rsidRPr="0099612B">
              <w:rPr>
                <w:rFonts w:eastAsia="Calibri"/>
                <w:lang w:val="en-US"/>
              </w:rPr>
              <w:t>.</w:t>
            </w:r>
          </w:p>
          <w:p w:rsidR="009B6697" w:rsidRPr="0099612B" w:rsidRDefault="000E74CC" w:rsidP="000E74CC">
            <w:pPr>
              <w:tabs>
                <w:tab w:val="left" w:pos="318"/>
                <w:tab w:val="left" w:pos="1276"/>
              </w:tabs>
              <w:rPr>
                <w:rFonts w:eastAsia="Calibri"/>
                <w:lang w:val="en-US"/>
              </w:rPr>
            </w:pPr>
            <w:r w:rsidRPr="0099612B">
              <w:rPr>
                <w:rFonts w:eastAsia="Calibri"/>
                <w:lang w:val="en-US"/>
              </w:rPr>
              <w:t>2.8.</w:t>
            </w:r>
            <w:r w:rsidRPr="0099612B">
              <w:rPr>
                <w:lang w:val="en-US"/>
              </w:rPr>
              <w:t xml:space="preserve">To organize the preparation and provide consideration by the Audit Committee the item: “On taking into consideration the report of sole executive body on management of key risks </w:t>
            </w:r>
            <w:proofErr w:type="spellStart"/>
            <w:r w:rsidRPr="0099612B">
              <w:rPr>
                <w:lang w:val="en-US"/>
              </w:rPr>
              <w:t>pf</w:t>
            </w:r>
            <w:proofErr w:type="spellEnd"/>
            <w:r w:rsidRPr="0099612B">
              <w:rPr>
                <w:lang w:val="en-US"/>
              </w:rPr>
              <w:t xml:space="preserve"> the Company for reporting year”</w:t>
            </w:r>
            <w:r w:rsidRPr="0099612B">
              <w:rPr>
                <w:rFonts w:eastAsia="Calibri"/>
                <w:lang w:val="en-US"/>
              </w:rPr>
              <w:t>.</w:t>
            </w:r>
          </w:p>
          <w:p w:rsidR="000E74CC" w:rsidRPr="0099612B" w:rsidRDefault="000E74CC" w:rsidP="000E74CC">
            <w:pPr>
              <w:tabs>
                <w:tab w:val="left" w:pos="318"/>
              </w:tabs>
              <w:rPr>
                <w:rFonts w:eastAsia="Calibri"/>
                <w:lang w:val="en-US"/>
              </w:rPr>
            </w:pPr>
            <w:r w:rsidRPr="0099612B">
              <w:rPr>
                <w:rFonts w:eastAsia="Calibri"/>
                <w:lang w:val="en-US"/>
              </w:rPr>
              <w:t>Term: annually by the 31th March.</w:t>
            </w:r>
          </w:p>
          <w:p w:rsidR="009B6697" w:rsidRPr="0099612B" w:rsidRDefault="000E74CC" w:rsidP="000E74CC">
            <w:pPr>
              <w:tabs>
                <w:tab w:val="left" w:pos="318"/>
                <w:tab w:val="left" w:pos="1276"/>
              </w:tabs>
              <w:rPr>
                <w:lang w:val="en-US"/>
              </w:rPr>
            </w:pPr>
            <w:r w:rsidRPr="0099612B">
              <w:rPr>
                <w:rFonts w:eastAsia="Calibri"/>
                <w:lang w:val="en-US"/>
              </w:rPr>
              <w:t xml:space="preserve">2.9. To considerate as invalid paragraph 1.4 of the resolution taken by the BoD on 02.08.2013 on item 17 (minutes of meeting No.168/2013 dd 05.08.2013) </w:t>
            </w:r>
          </w:p>
        </w:tc>
      </w:tr>
      <w:tr w:rsidR="00075975" w:rsidRPr="00335DFA" w:rsidTr="008B313B">
        <w:tc>
          <w:tcPr>
            <w:tcW w:w="9782" w:type="dxa"/>
            <w:gridSpan w:val="2"/>
          </w:tcPr>
          <w:p w:rsidR="00075975" w:rsidRPr="0099612B" w:rsidRDefault="00075975" w:rsidP="002B224D">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lastRenderedPageBreak/>
              <w:t>Disclosure of insider information on item No.</w:t>
            </w:r>
            <w:r w:rsidR="00F15BDF"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5 “</w:t>
            </w:r>
            <w:r w:rsidR="004A690C" w:rsidRPr="0099612B">
              <w:rPr>
                <w:rFonts w:ascii="Times New Roman" w:hAnsi="Times New Roman" w:cs="Times New Roman"/>
                <w:b/>
                <w:color w:val="000000"/>
                <w:sz w:val="24"/>
                <w:szCs w:val="24"/>
                <w:lang w:val="en-US"/>
              </w:rPr>
              <w:t>O</w:t>
            </w:r>
            <w:r w:rsidR="000602C7" w:rsidRPr="0099612B">
              <w:rPr>
                <w:rFonts w:ascii="Times New Roman" w:hAnsi="Times New Roman" w:cs="Times New Roman"/>
                <w:b/>
                <w:color w:val="000000"/>
                <w:sz w:val="24"/>
                <w:szCs w:val="24"/>
                <w:lang w:val="en-US"/>
              </w:rPr>
              <w:t>n</w:t>
            </w:r>
            <w:r w:rsidR="004A690C" w:rsidRPr="0099612B">
              <w:rPr>
                <w:rFonts w:ascii="Times New Roman" w:hAnsi="Times New Roman" w:cs="Times New Roman"/>
                <w:b/>
                <w:color w:val="000000"/>
                <w:sz w:val="24"/>
                <w:szCs w:val="24"/>
                <w:lang w:val="en-US"/>
              </w:rPr>
              <w:t xml:space="preserve"> introducing changes to Regulations on placement of temporarily disposable monetary resources of the Company</w:t>
            </w:r>
            <w:r w:rsidRPr="0099612B">
              <w:rPr>
                <w:rFonts w:ascii="Times New Roman" w:hAnsi="Times New Roman" w:cs="Times New Roman"/>
                <w:b/>
                <w:sz w:val="24"/>
                <w:szCs w:val="24"/>
                <w:lang w:val="en-US"/>
              </w:rPr>
              <w:t>”</w:t>
            </w:r>
          </w:p>
        </w:tc>
      </w:tr>
      <w:tr w:rsidR="00075975" w:rsidRPr="00335DFA" w:rsidTr="008B313B">
        <w:tc>
          <w:tcPr>
            <w:tcW w:w="9782" w:type="dxa"/>
            <w:gridSpan w:val="2"/>
          </w:tcPr>
          <w:p w:rsidR="00075975" w:rsidRPr="0099612B" w:rsidRDefault="002B224D" w:rsidP="006368DC">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w:t>
            </w:r>
            <w:r w:rsidR="00075975" w:rsidRPr="0099612B">
              <w:rPr>
                <w:rFonts w:ascii="Times New Roman" w:hAnsi="Times New Roman" w:cs="Times New Roman"/>
                <w:sz w:val="24"/>
                <w:szCs w:val="24"/>
                <w:lang w:val="en-US"/>
              </w:rPr>
              <w:t>5.  Decision adopted by issuer’s Board of Directors:</w:t>
            </w:r>
          </w:p>
          <w:p w:rsidR="00335D7A" w:rsidRPr="0099612B" w:rsidRDefault="002B224D" w:rsidP="008D0ED3">
            <w:pPr>
              <w:pStyle w:val="a3"/>
              <w:spacing w:before="60"/>
              <w:jc w:val="both"/>
              <w:rPr>
                <w:rFonts w:ascii="Times New Roman" w:hAnsi="Times New Roman" w:cs="Times New Roman"/>
                <w:color w:val="000000"/>
                <w:sz w:val="24"/>
                <w:szCs w:val="24"/>
                <w:lang w:val="en-US"/>
              </w:rPr>
            </w:pPr>
            <w:r w:rsidRPr="0099612B">
              <w:rPr>
                <w:rFonts w:ascii="Times New Roman" w:hAnsi="Times New Roman" w:cs="Times New Roman"/>
                <w:sz w:val="24"/>
                <w:szCs w:val="24"/>
                <w:lang w:val="en-US"/>
              </w:rPr>
              <w:t xml:space="preserve">1. </w:t>
            </w:r>
            <w:r w:rsidR="000602C7" w:rsidRPr="0099612B">
              <w:rPr>
                <w:rFonts w:ascii="Times New Roman" w:hAnsi="Times New Roman" w:cs="Times New Roman"/>
                <w:sz w:val="24"/>
                <w:szCs w:val="24"/>
                <w:lang w:val="en-US"/>
              </w:rPr>
              <w:t xml:space="preserve">To introduce </w:t>
            </w:r>
            <w:r w:rsidR="000602C7" w:rsidRPr="0099612B">
              <w:rPr>
                <w:rFonts w:ascii="Times New Roman" w:hAnsi="Times New Roman" w:cs="Times New Roman"/>
                <w:color w:val="000000"/>
                <w:sz w:val="24"/>
                <w:szCs w:val="24"/>
                <w:lang w:val="en-US"/>
              </w:rPr>
              <w:t xml:space="preserve">changes to Regulations on placement of temporarily disposable monetary resources of “Kubanenergo” JSC, </w:t>
            </w:r>
            <w:r w:rsidR="008D0ED3" w:rsidRPr="0099612B">
              <w:rPr>
                <w:rFonts w:ascii="Times New Roman" w:hAnsi="Times New Roman" w:cs="Times New Roman"/>
                <w:color w:val="000000"/>
                <w:sz w:val="24"/>
                <w:szCs w:val="24"/>
                <w:lang w:val="en-US"/>
              </w:rPr>
              <w:t>to put redrafted Annex 1 to Regulation in accordance with Appendix 9 to present decision of “Kubanenergo” JSC BoD.</w:t>
            </w:r>
          </w:p>
          <w:p w:rsidR="008D0ED3" w:rsidRPr="0099612B" w:rsidRDefault="008D0ED3" w:rsidP="006470B5">
            <w:pPr>
              <w:pStyle w:val="a3"/>
              <w:spacing w:before="60"/>
              <w:jc w:val="both"/>
              <w:rPr>
                <w:rFonts w:ascii="Times New Roman" w:hAnsi="Times New Roman" w:cs="Times New Roman"/>
                <w:color w:val="000000"/>
                <w:sz w:val="24"/>
                <w:szCs w:val="24"/>
                <w:lang w:val="en-US"/>
              </w:rPr>
            </w:pPr>
            <w:r w:rsidRPr="0099612B">
              <w:rPr>
                <w:rFonts w:ascii="Times New Roman" w:hAnsi="Times New Roman" w:cs="Times New Roman"/>
                <w:color w:val="000000"/>
                <w:sz w:val="24"/>
                <w:szCs w:val="24"/>
                <w:lang w:val="en-US"/>
              </w:rPr>
              <w:t xml:space="preserve">2. </w:t>
            </w:r>
            <w:r w:rsidR="002A36E4" w:rsidRPr="0099612B">
              <w:rPr>
                <w:rFonts w:ascii="Times New Roman" w:hAnsi="Times New Roman" w:cs="Times New Roman"/>
                <w:color w:val="000000"/>
                <w:sz w:val="24"/>
                <w:szCs w:val="24"/>
                <w:lang w:val="en-US"/>
              </w:rPr>
              <w:t xml:space="preserve">To allow </w:t>
            </w:r>
            <w:r w:rsidR="00292C8F" w:rsidRPr="0099612B">
              <w:rPr>
                <w:rFonts w:ascii="Times New Roman" w:hAnsi="Times New Roman" w:cs="Times New Roman"/>
                <w:color w:val="000000"/>
                <w:sz w:val="24"/>
                <w:szCs w:val="24"/>
                <w:lang w:val="en-US"/>
              </w:rPr>
              <w:t xml:space="preserve">“Kubanenergo” JSC to allocate temporary free cash of “Kubanenergo” JSC (including </w:t>
            </w:r>
            <w:r w:rsidR="00005411" w:rsidRPr="0099612B">
              <w:rPr>
                <w:rFonts w:ascii="Times New Roman" w:hAnsi="Times New Roman" w:cs="Times New Roman"/>
                <w:color w:val="000000"/>
                <w:sz w:val="24"/>
                <w:szCs w:val="24"/>
                <w:lang w:val="en-US"/>
              </w:rPr>
              <w:t>allocating cash balance and allocation of temporary free cash on deposits</w:t>
            </w:r>
            <w:r w:rsidR="00292C8F" w:rsidRPr="0099612B">
              <w:rPr>
                <w:rFonts w:ascii="Times New Roman" w:hAnsi="Times New Roman" w:cs="Times New Roman"/>
                <w:color w:val="000000"/>
                <w:sz w:val="24"/>
                <w:szCs w:val="24"/>
                <w:lang w:val="en-US"/>
              </w:rPr>
              <w:t>)</w:t>
            </w:r>
            <w:r w:rsidR="00005411" w:rsidRPr="0099612B">
              <w:rPr>
                <w:rFonts w:ascii="Times New Roman" w:hAnsi="Times New Roman" w:cs="Times New Roman"/>
                <w:color w:val="000000"/>
                <w:sz w:val="24"/>
                <w:szCs w:val="24"/>
                <w:lang w:val="en-US"/>
              </w:rPr>
              <w:t xml:space="preserve"> in Commercial bank </w:t>
            </w:r>
            <w:r w:rsidR="00005411" w:rsidRPr="0099612B">
              <w:rPr>
                <w:rFonts w:ascii="Times New Roman" w:hAnsi="Times New Roman" w:cs="Times New Roman"/>
                <w:color w:val="000000"/>
                <w:sz w:val="24"/>
                <w:szCs w:val="24"/>
                <w:lang w:val="en-US"/>
              </w:rPr>
              <w:lastRenderedPageBreak/>
              <w:t>“</w:t>
            </w:r>
            <w:proofErr w:type="spellStart"/>
            <w:r w:rsidR="00005411" w:rsidRPr="0099612B">
              <w:rPr>
                <w:rFonts w:ascii="Times New Roman" w:hAnsi="Times New Roman" w:cs="Times New Roman"/>
                <w:color w:val="000000"/>
                <w:sz w:val="24"/>
                <w:szCs w:val="24"/>
                <w:lang w:val="en-US"/>
              </w:rPr>
              <w:t>Rosenergobank</w:t>
            </w:r>
            <w:proofErr w:type="spellEnd"/>
            <w:r w:rsidR="00005411" w:rsidRPr="0099612B">
              <w:rPr>
                <w:rFonts w:ascii="Times New Roman" w:hAnsi="Times New Roman" w:cs="Times New Roman"/>
                <w:color w:val="000000"/>
                <w:sz w:val="24"/>
                <w:szCs w:val="24"/>
                <w:lang w:val="en-US"/>
              </w:rPr>
              <w:t xml:space="preserve">” (JSC) </w:t>
            </w:r>
            <w:r w:rsidR="006470B5" w:rsidRPr="0099612B">
              <w:rPr>
                <w:rFonts w:ascii="Times New Roman" w:hAnsi="Times New Roman" w:cs="Times New Roman"/>
                <w:color w:val="000000"/>
                <w:sz w:val="24"/>
                <w:szCs w:val="24"/>
                <w:lang w:val="en-US"/>
              </w:rPr>
              <w:t>by 31.12.2014 without increasing the volume of transactions.</w:t>
            </w:r>
          </w:p>
          <w:p w:rsidR="003668E4" w:rsidRPr="0099612B" w:rsidRDefault="003668E4" w:rsidP="003668E4">
            <w:pPr>
              <w:jc w:val="both"/>
              <w:rPr>
                <w:lang w:val="en-US"/>
              </w:rPr>
            </w:pPr>
            <w:r w:rsidRPr="0099612B">
              <w:rPr>
                <w:lang w:val="en-US"/>
              </w:rPr>
              <w:t>To leave unchanged the use of storage and expenditure of funds (including the placement of cash balances, as well as placement of temporarily free funds on deposits) received by the Company from the federal budget, and the funds received as payment for additional shares of “Rossetti” JSC on financing of investment projects of the Company, detached from the other assets of the Company bank account opened solely in one of the backbone of the Russian banks listed in Annex 9 to this decision of the BoD.</w:t>
            </w:r>
          </w:p>
          <w:p w:rsidR="006470B5" w:rsidRPr="0099612B" w:rsidRDefault="006470B5" w:rsidP="006470B5">
            <w:pPr>
              <w:pStyle w:val="a3"/>
              <w:spacing w:before="60"/>
              <w:jc w:val="both"/>
              <w:rPr>
                <w:rFonts w:ascii="Times New Roman" w:hAnsi="Times New Roman" w:cs="Times New Roman"/>
                <w:sz w:val="24"/>
                <w:szCs w:val="24"/>
                <w:lang w:val="en-US"/>
              </w:rPr>
            </w:pPr>
          </w:p>
        </w:tc>
      </w:tr>
      <w:tr w:rsidR="00075975" w:rsidRPr="00335DFA" w:rsidTr="008B313B">
        <w:tc>
          <w:tcPr>
            <w:tcW w:w="9782" w:type="dxa"/>
            <w:gridSpan w:val="2"/>
          </w:tcPr>
          <w:p w:rsidR="00075975" w:rsidRPr="0099612B" w:rsidRDefault="00075975" w:rsidP="00E379C2">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lastRenderedPageBreak/>
              <w:t>Disclosure of insider information on item No.</w:t>
            </w:r>
            <w:r w:rsidR="00F15BDF"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6</w:t>
            </w:r>
            <w:r w:rsidR="00710AF9" w:rsidRPr="0099612B">
              <w:rPr>
                <w:rFonts w:ascii="Times New Roman" w:hAnsi="Times New Roman" w:cs="Times New Roman"/>
                <w:b/>
                <w:sz w:val="24"/>
                <w:szCs w:val="24"/>
                <w:lang w:val="en-US"/>
              </w:rPr>
              <w:t xml:space="preserve"> “</w:t>
            </w:r>
            <w:r w:rsidR="004A690C" w:rsidRPr="0099612B">
              <w:rPr>
                <w:rFonts w:ascii="Times New Roman" w:hAnsi="Times New Roman" w:cs="Times New Roman"/>
                <w:b/>
                <w:color w:val="000000"/>
                <w:sz w:val="24"/>
                <w:szCs w:val="24"/>
                <w:lang w:val="en-US"/>
              </w:rPr>
              <w:t>On electing candidates to particular positions determined by the BoD at executive body of the Company</w:t>
            </w:r>
            <w:r w:rsidR="00710AF9" w:rsidRPr="0099612B">
              <w:rPr>
                <w:rFonts w:ascii="Times New Roman" w:hAnsi="Times New Roman" w:cs="Times New Roman"/>
                <w:b/>
                <w:sz w:val="24"/>
                <w:szCs w:val="24"/>
                <w:lang w:val="en-US"/>
              </w:rPr>
              <w:t>”</w:t>
            </w:r>
          </w:p>
        </w:tc>
      </w:tr>
      <w:tr w:rsidR="00075975" w:rsidRPr="00335DFA" w:rsidTr="008B313B">
        <w:tc>
          <w:tcPr>
            <w:tcW w:w="9782" w:type="dxa"/>
            <w:gridSpan w:val="2"/>
          </w:tcPr>
          <w:p w:rsidR="00075975" w:rsidRPr="0099612B" w:rsidRDefault="00075975" w:rsidP="006368DC">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w:t>
            </w:r>
            <w:r w:rsidR="00710AF9" w:rsidRPr="0099612B">
              <w:rPr>
                <w:rFonts w:ascii="Times New Roman" w:hAnsi="Times New Roman" w:cs="Times New Roman"/>
                <w:sz w:val="24"/>
                <w:szCs w:val="24"/>
                <w:lang w:val="en-US"/>
              </w:rPr>
              <w:t>6</w:t>
            </w:r>
            <w:r w:rsidRPr="0099612B">
              <w:rPr>
                <w:rFonts w:ascii="Times New Roman" w:hAnsi="Times New Roman" w:cs="Times New Roman"/>
                <w:sz w:val="24"/>
                <w:szCs w:val="24"/>
                <w:lang w:val="en-US"/>
              </w:rPr>
              <w:t>.  Decision adopted by issuer’s Board of Directors:</w:t>
            </w:r>
          </w:p>
          <w:p w:rsidR="00274D9E" w:rsidRPr="0099612B" w:rsidRDefault="00FB34F4" w:rsidP="00F15BDF">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To appoint </w:t>
            </w:r>
            <w:proofErr w:type="spellStart"/>
            <w:r w:rsidRPr="0099612B">
              <w:rPr>
                <w:rFonts w:ascii="Times New Roman" w:hAnsi="Times New Roman" w:cs="Times New Roman"/>
                <w:sz w:val="24"/>
                <w:szCs w:val="24"/>
                <w:lang w:val="en-US"/>
              </w:rPr>
              <w:t>Ryazantsev</w:t>
            </w:r>
            <w:proofErr w:type="spellEnd"/>
            <w:r w:rsidRPr="0099612B">
              <w:rPr>
                <w:rFonts w:ascii="Times New Roman" w:hAnsi="Times New Roman" w:cs="Times New Roman"/>
                <w:sz w:val="24"/>
                <w:szCs w:val="24"/>
                <w:lang w:val="en-US"/>
              </w:rPr>
              <w:t xml:space="preserve"> Dmitry </w:t>
            </w:r>
            <w:proofErr w:type="spellStart"/>
            <w:r w:rsidRPr="0099612B">
              <w:rPr>
                <w:rFonts w:ascii="Times New Roman" w:hAnsi="Times New Roman" w:cs="Times New Roman"/>
                <w:sz w:val="24"/>
                <w:szCs w:val="24"/>
                <w:lang w:val="en-US"/>
              </w:rPr>
              <w:t>Yurievich</w:t>
            </w:r>
            <w:proofErr w:type="spellEnd"/>
            <w:r w:rsidRPr="0099612B">
              <w:rPr>
                <w:rFonts w:ascii="Times New Roman" w:hAnsi="Times New Roman" w:cs="Times New Roman"/>
                <w:sz w:val="24"/>
                <w:szCs w:val="24"/>
                <w:lang w:val="en-US"/>
              </w:rPr>
              <w:t xml:space="preserve">, </w:t>
            </w:r>
            <w:r w:rsidR="00F15BDF" w:rsidRPr="0099612B">
              <w:rPr>
                <w:rFonts w:ascii="Times New Roman" w:hAnsi="Times New Roman" w:cs="Times New Roman"/>
                <w:sz w:val="24"/>
                <w:szCs w:val="24"/>
                <w:lang w:val="en-US"/>
              </w:rPr>
              <w:t>chief engineer of “Kubanenergo” JSC for the position of deputy Director General in charge of technical issues</w:t>
            </w:r>
            <w:r w:rsidR="00274D9E" w:rsidRPr="0099612B">
              <w:rPr>
                <w:rFonts w:ascii="Times New Roman" w:hAnsi="Times New Roman" w:cs="Times New Roman"/>
                <w:sz w:val="24"/>
                <w:szCs w:val="24"/>
                <w:lang w:val="en-US"/>
              </w:rPr>
              <w:t>.</w:t>
            </w:r>
          </w:p>
        </w:tc>
      </w:tr>
      <w:tr w:rsidR="00075975" w:rsidRPr="00335DFA" w:rsidTr="008B313B">
        <w:tc>
          <w:tcPr>
            <w:tcW w:w="9782" w:type="dxa"/>
            <w:gridSpan w:val="2"/>
          </w:tcPr>
          <w:p w:rsidR="00075975" w:rsidRPr="0099612B" w:rsidRDefault="00075975" w:rsidP="00F15BDF">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t>Disclosure of insider information on item No.</w:t>
            </w:r>
            <w:r w:rsidR="00F15BDF"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7</w:t>
            </w:r>
            <w:r w:rsidR="00E316B0" w:rsidRPr="0099612B">
              <w:rPr>
                <w:rFonts w:ascii="Times New Roman" w:hAnsi="Times New Roman" w:cs="Times New Roman"/>
                <w:b/>
                <w:sz w:val="24"/>
                <w:szCs w:val="24"/>
                <w:lang w:val="en-US"/>
              </w:rPr>
              <w:t xml:space="preserve"> “</w:t>
            </w:r>
            <w:r w:rsidR="004A690C" w:rsidRPr="0099612B">
              <w:rPr>
                <w:rFonts w:ascii="Times New Roman" w:hAnsi="Times New Roman" w:cs="Times New Roman"/>
                <w:b/>
                <w:color w:val="000000"/>
                <w:sz w:val="24"/>
                <w:szCs w:val="24"/>
                <w:lang w:val="en-US"/>
              </w:rPr>
              <w:t>On approving Credit plan of Kubanenergo for the 4</w:t>
            </w:r>
            <w:r w:rsidR="004A690C" w:rsidRPr="0099612B">
              <w:rPr>
                <w:rFonts w:ascii="Times New Roman" w:hAnsi="Times New Roman" w:cs="Times New Roman"/>
                <w:b/>
                <w:color w:val="000000"/>
                <w:sz w:val="24"/>
                <w:szCs w:val="24"/>
                <w:vertAlign w:val="superscript"/>
                <w:lang w:val="en-US"/>
              </w:rPr>
              <w:t>th</w:t>
            </w:r>
            <w:r w:rsidR="004A690C" w:rsidRPr="0099612B">
              <w:rPr>
                <w:rFonts w:ascii="Times New Roman" w:hAnsi="Times New Roman" w:cs="Times New Roman"/>
                <w:b/>
                <w:color w:val="000000"/>
                <w:sz w:val="24"/>
                <w:szCs w:val="24"/>
                <w:lang w:val="en-US"/>
              </w:rPr>
              <w:t xml:space="preserve"> quarter of 2014</w:t>
            </w:r>
            <w:r w:rsidR="00E316B0" w:rsidRPr="0099612B">
              <w:rPr>
                <w:rFonts w:ascii="Times New Roman" w:hAnsi="Times New Roman" w:cs="Times New Roman"/>
                <w:b/>
                <w:sz w:val="24"/>
                <w:szCs w:val="24"/>
                <w:lang w:val="en-US"/>
              </w:rPr>
              <w:t>”</w:t>
            </w:r>
          </w:p>
        </w:tc>
      </w:tr>
      <w:tr w:rsidR="00075975" w:rsidRPr="00335DFA" w:rsidTr="008B313B">
        <w:trPr>
          <w:trHeight w:val="283"/>
        </w:trPr>
        <w:tc>
          <w:tcPr>
            <w:tcW w:w="9782" w:type="dxa"/>
            <w:gridSpan w:val="2"/>
          </w:tcPr>
          <w:p w:rsidR="00E87EC4" w:rsidRPr="0099612B" w:rsidRDefault="00E87EC4" w:rsidP="00E87EC4">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2.2.7.  Decision adopted by issuer’s Board of Directors:</w:t>
            </w:r>
          </w:p>
          <w:p w:rsidR="00E316B0" w:rsidRPr="0099612B" w:rsidRDefault="00F15BDF" w:rsidP="00F02F92">
            <w:pPr>
              <w:pStyle w:val="a3"/>
              <w:spacing w:before="60"/>
              <w:jc w:val="both"/>
              <w:rPr>
                <w:rFonts w:ascii="Times New Roman" w:hAnsi="Times New Roman" w:cs="Times New Roman"/>
                <w:color w:val="000000"/>
                <w:sz w:val="24"/>
                <w:szCs w:val="24"/>
                <w:lang w:val="en-US"/>
              </w:rPr>
            </w:pPr>
            <w:r w:rsidRPr="0099612B">
              <w:rPr>
                <w:rFonts w:ascii="Times New Roman" w:hAnsi="Times New Roman" w:cs="Times New Roman"/>
                <w:sz w:val="24"/>
                <w:szCs w:val="24"/>
                <w:lang w:val="en-US"/>
              </w:rPr>
              <w:t>1</w:t>
            </w:r>
            <w:r w:rsidR="00274D9E" w:rsidRPr="0099612B">
              <w:rPr>
                <w:rFonts w:ascii="Times New Roman" w:hAnsi="Times New Roman" w:cs="Times New Roman"/>
                <w:sz w:val="24"/>
                <w:szCs w:val="24"/>
                <w:lang w:val="en-US"/>
              </w:rPr>
              <w:t>.</w:t>
            </w:r>
            <w:r w:rsidRPr="0099612B">
              <w:rPr>
                <w:rFonts w:ascii="Times New Roman" w:hAnsi="Times New Roman" w:cs="Times New Roman"/>
                <w:sz w:val="24"/>
                <w:szCs w:val="24"/>
                <w:lang w:val="en-US"/>
              </w:rPr>
              <w:t xml:space="preserve"> </w:t>
            </w:r>
            <w:r w:rsidR="00F02F92" w:rsidRPr="0099612B">
              <w:rPr>
                <w:rFonts w:ascii="Times New Roman" w:hAnsi="Times New Roman" w:cs="Times New Roman"/>
                <w:sz w:val="24"/>
                <w:szCs w:val="24"/>
                <w:lang w:val="en-US"/>
              </w:rPr>
              <w:t xml:space="preserve">To approve </w:t>
            </w:r>
            <w:r w:rsidR="00F02F92" w:rsidRPr="0099612B">
              <w:rPr>
                <w:rFonts w:ascii="Times New Roman" w:hAnsi="Times New Roman" w:cs="Times New Roman"/>
                <w:color w:val="000000"/>
                <w:sz w:val="24"/>
                <w:szCs w:val="24"/>
                <w:lang w:val="en-US"/>
              </w:rPr>
              <w:t>credit plan of Kubanenergo for the 4</w:t>
            </w:r>
            <w:r w:rsidR="00F02F92" w:rsidRPr="0099612B">
              <w:rPr>
                <w:rFonts w:ascii="Times New Roman" w:hAnsi="Times New Roman" w:cs="Times New Roman"/>
                <w:color w:val="000000"/>
                <w:sz w:val="24"/>
                <w:szCs w:val="24"/>
                <w:vertAlign w:val="superscript"/>
                <w:lang w:val="en-US"/>
              </w:rPr>
              <w:t>th</w:t>
            </w:r>
            <w:r w:rsidR="00F02F92" w:rsidRPr="0099612B">
              <w:rPr>
                <w:rFonts w:ascii="Times New Roman" w:hAnsi="Times New Roman" w:cs="Times New Roman"/>
                <w:color w:val="000000"/>
                <w:sz w:val="24"/>
                <w:szCs w:val="24"/>
                <w:lang w:val="en-US"/>
              </w:rPr>
              <w:t xml:space="preserve"> quarter of 2014 in accordance with Appendix 10 to present decision of Company’s BoD.</w:t>
            </w:r>
          </w:p>
          <w:p w:rsidR="00F02F92" w:rsidRPr="0099612B" w:rsidRDefault="00F02F92" w:rsidP="00950FD9">
            <w:pPr>
              <w:pStyle w:val="a3"/>
              <w:spacing w:before="60"/>
              <w:jc w:val="both"/>
              <w:rPr>
                <w:rFonts w:ascii="Times New Roman" w:hAnsi="Times New Roman" w:cs="Times New Roman"/>
                <w:color w:val="000000"/>
                <w:sz w:val="24"/>
                <w:szCs w:val="24"/>
                <w:lang w:val="en-US"/>
              </w:rPr>
            </w:pPr>
            <w:r w:rsidRPr="0099612B">
              <w:rPr>
                <w:rFonts w:ascii="Times New Roman" w:hAnsi="Times New Roman" w:cs="Times New Roman"/>
                <w:color w:val="000000"/>
                <w:sz w:val="24"/>
                <w:szCs w:val="24"/>
                <w:lang w:val="en-US"/>
              </w:rPr>
              <w:t xml:space="preserve">2. </w:t>
            </w:r>
            <w:r w:rsidR="00950FD9" w:rsidRPr="0099612B">
              <w:rPr>
                <w:rFonts w:ascii="Times New Roman" w:hAnsi="Times New Roman" w:cs="Times New Roman"/>
                <w:color w:val="000000"/>
                <w:sz w:val="24"/>
                <w:szCs w:val="24"/>
                <w:lang w:val="en-US"/>
              </w:rPr>
              <w:t>To instruct Director General to provide the approving of credit funds attraction including selection of each particular tranche, and advanced repayment of credit funds with permanent purchasing committee on organization and selection of financial institutions for Company’</w:t>
            </w:r>
            <w:r w:rsidR="00A1439F" w:rsidRPr="0099612B">
              <w:rPr>
                <w:rFonts w:ascii="Times New Roman" w:hAnsi="Times New Roman" w:cs="Times New Roman"/>
                <w:color w:val="000000"/>
                <w:sz w:val="24"/>
                <w:szCs w:val="24"/>
                <w:lang w:val="en-US"/>
              </w:rPr>
              <w:t>s needs.</w:t>
            </w:r>
            <w:r w:rsidR="00950FD9" w:rsidRPr="0099612B">
              <w:rPr>
                <w:rFonts w:ascii="Times New Roman" w:hAnsi="Times New Roman" w:cs="Times New Roman"/>
                <w:color w:val="000000"/>
                <w:sz w:val="24"/>
                <w:szCs w:val="24"/>
                <w:lang w:val="en-US"/>
              </w:rPr>
              <w:t xml:space="preserve"> </w:t>
            </w:r>
          </w:p>
        </w:tc>
      </w:tr>
      <w:tr w:rsidR="00075975" w:rsidRPr="00335DFA" w:rsidTr="008B313B">
        <w:tc>
          <w:tcPr>
            <w:tcW w:w="9782" w:type="dxa"/>
            <w:gridSpan w:val="2"/>
          </w:tcPr>
          <w:p w:rsidR="00075975" w:rsidRPr="0099612B" w:rsidRDefault="00075975" w:rsidP="00A1439F">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t>Disclosure of insider information on item No.</w:t>
            </w:r>
            <w:r w:rsidR="00BB07E3"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8</w:t>
            </w:r>
            <w:r w:rsidR="009178B5" w:rsidRPr="0099612B">
              <w:rPr>
                <w:rFonts w:ascii="Times New Roman" w:hAnsi="Times New Roman" w:cs="Times New Roman"/>
                <w:b/>
                <w:sz w:val="24"/>
                <w:szCs w:val="24"/>
                <w:lang w:val="en-US"/>
              </w:rPr>
              <w:t xml:space="preserve"> “</w:t>
            </w:r>
            <w:r w:rsidR="004A690C" w:rsidRPr="0099612B">
              <w:rPr>
                <w:rFonts w:ascii="Times New Roman" w:hAnsi="Times New Roman" w:cs="Times New Roman"/>
                <w:b/>
                <w:color w:val="000000"/>
                <w:sz w:val="24"/>
                <w:szCs w:val="24"/>
                <w:lang w:val="en-US"/>
              </w:rPr>
              <w:t>On preliminary approval of decision to make a transaction related to free of charge transfer of movable property for production purposes, transfer, distribution of electric and heat energy – backup sources of energy supply</w:t>
            </w:r>
            <w:r w:rsidR="008D5552" w:rsidRPr="0099612B">
              <w:rPr>
                <w:rFonts w:ascii="Times New Roman" w:hAnsi="Times New Roman" w:cs="Times New Roman"/>
                <w:b/>
                <w:sz w:val="24"/>
                <w:szCs w:val="24"/>
                <w:lang w:val="en-US"/>
              </w:rPr>
              <w:t>”</w:t>
            </w:r>
          </w:p>
        </w:tc>
      </w:tr>
      <w:tr w:rsidR="008D5552" w:rsidRPr="00335DFA" w:rsidTr="008B313B">
        <w:tc>
          <w:tcPr>
            <w:tcW w:w="9782" w:type="dxa"/>
            <w:gridSpan w:val="2"/>
          </w:tcPr>
          <w:p w:rsidR="008D5552" w:rsidRPr="0099612B" w:rsidRDefault="008D5552" w:rsidP="00C14466">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w:t>
            </w:r>
            <w:r w:rsidR="00394737" w:rsidRPr="0099612B">
              <w:rPr>
                <w:rFonts w:ascii="Times New Roman" w:hAnsi="Times New Roman" w:cs="Times New Roman"/>
                <w:sz w:val="24"/>
                <w:szCs w:val="24"/>
                <w:lang w:val="en-US"/>
              </w:rPr>
              <w:t>8</w:t>
            </w:r>
            <w:r w:rsidRPr="0099612B">
              <w:rPr>
                <w:rFonts w:ascii="Times New Roman" w:hAnsi="Times New Roman" w:cs="Times New Roman"/>
                <w:sz w:val="24"/>
                <w:szCs w:val="24"/>
                <w:lang w:val="en-US"/>
              </w:rPr>
              <w:t>.  Decision adopted by issuer’s Board of Directors:</w:t>
            </w:r>
          </w:p>
          <w:p w:rsidR="008D5552" w:rsidRPr="0099612B" w:rsidRDefault="008249C9" w:rsidP="008D5552">
            <w:pPr>
              <w:pStyle w:val="a3"/>
              <w:spacing w:before="60"/>
              <w:jc w:val="both"/>
              <w:rPr>
                <w:rFonts w:ascii="Times New Roman" w:hAnsi="Times New Roman" w:cs="Times New Roman"/>
                <w:color w:val="000000"/>
                <w:sz w:val="24"/>
                <w:szCs w:val="24"/>
                <w:lang w:val="en-US"/>
              </w:rPr>
            </w:pPr>
            <w:r w:rsidRPr="0099612B">
              <w:rPr>
                <w:rFonts w:ascii="Times New Roman" w:hAnsi="Times New Roman" w:cs="Times New Roman"/>
                <w:sz w:val="24"/>
                <w:szCs w:val="24"/>
                <w:lang w:val="en-US"/>
              </w:rPr>
              <w:t xml:space="preserve">To approve </w:t>
            </w:r>
            <w:r w:rsidR="00710CFB" w:rsidRPr="0099612B">
              <w:rPr>
                <w:rFonts w:ascii="Times New Roman" w:hAnsi="Times New Roman" w:cs="Times New Roman"/>
                <w:color w:val="000000"/>
                <w:sz w:val="24"/>
                <w:szCs w:val="24"/>
                <w:lang w:val="en-US"/>
              </w:rPr>
              <w:t>free of charge transfer of movable property for production purposes, transfer, distribution of electric and heat energy – backup sources of energy supply at the following conditions:</w:t>
            </w:r>
          </w:p>
          <w:p w:rsidR="00710CFB" w:rsidRPr="0099612B" w:rsidRDefault="00217C76" w:rsidP="008D5552">
            <w:pPr>
              <w:pStyle w:val="a3"/>
              <w:spacing w:before="60"/>
              <w:jc w:val="both"/>
              <w:rPr>
                <w:rFonts w:ascii="Times New Roman" w:hAnsi="Times New Roman" w:cs="Times New Roman"/>
                <w:color w:val="000000"/>
                <w:sz w:val="24"/>
                <w:szCs w:val="24"/>
                <w:lang w:val="en-US"/>
              </w:rPr>
            </w:pPr>
            <w:r w:rsidRPr="0099612B">
              <w:rPr>
                <w:rFonts w:ascii="Times New Roman" w:hAnsi="Times New Roman" w:cs="Times New Roman"/>
                <w:color w:val="000000"/>
                <w:sz w:val="24"/>
                <w:szCs w:val="24"/>
                <w:lang w:val="en-US"/>
              </w:rPr>
              <w:t xml:space="preserve">- </w:t>
            </w:r>
            <w:r w:rsidR="0071069D" w:rsidRPr="0099612B">
              <w:rPr>
                <w:rFonts w:ascii="Times New Roman" w:hAnsi="Times New Roman" w:cs="Times New Roman"/>
                <w:color w:val="000000"/>
                <w:sz w:val="24"/>
                <w:szCs w:val="24"/>
                <w:lang w:val="en-US"/>
              </w:rPr>
              <w:t>list and balance cost of alienated property are specified in Appendix 11 to present decision of Company’s BoD;</w:t>
            </w:r>
          </w:p>
          <w:p w:rsidR="0071069D" w:rsidRPr="0099612B" w:rsidRDefault="0071069D" w:rsidP="001D69E0">
            <w:pPr>
              <w:pStyle w:val="a3"/>
              <w:spacing w:before="60"/>
              <w:jc w:val="both"/>
              <w:rPr>
                <w:rFonts w:ascii="Times New Roman" w:hAnsi="Times New Roman" w:cs="Times New Roman"/>
                <w:sz w:val="24"/>
                <w:szCs w:val="24"/>
                <w:lang w:val="en-US"/>
              </w:rPr>
            </w:pPr>
            <w:r w:rsidRPr="0099612B">
              <w:rPr>
                <w:rFonts w:ascii="Times New Roman" w:hAnsi="Times New Roman" w:cs="Times New Roman"/>
                <w:color w:val="000000"/>
                <w:sz w:val="24"/>
                <w:szCs w:val="24"/>
                <w:lang w:val="en-US"/>
              </w:rPr>
              <w:t xml:space="preserve">- </w:t>
            </w:r>
            <w:r w:rsidR="00015EC8" w:rsidRPr="0099612B">
              <w:rPr>
                <w:rFonts w:ascii="Times New Roman" w:hAnsi="Times New Roman" w:cs="Times New Roman"/>
                <w:color w:val="000000"/>
                <w:sz w:val="24"/>
                <w:szCs w:val="24"/>
                <w:lang w:val="en-US"/>
              </w:rPr>
              <w:t xml:space="preserve">method of alienation of property </w:t>
            </w:r>
            <w:r w:rsidR="001D69E0" w:rsidRPr="0099612B">
              <w:rPr>
                <w:rFonts w:ascii="Times New Roman" w:hAnsi="Times New Roman" w:cs="Times New Roman"/>
                <w:color w:val="000000"/>
                <w:sz w:val="24"/>
                <w:szCs w:val="24"/>
                <w:lang w:val="en-US"/>
              </w:rPr>
              <w:t>–</w:t>
            </w:r>
            <w:r w:rsidR="00015EC8" w:rsidRPr="0099612B">
              <w:rPr>
                <w:rFonts w:ascii="Times New Roman" w:hAnsi="Times New Roman" w:cs="Times New Roman"/>
                <w:color w:val="000000"/>
                <w:sz w:val="24"/>
                <w:szCs w:val="24"/>
                <w:lang w:val="en-US"/>
              </w:rPr>
              <w:t xml:space="preserve"> </w:t>
            </w:r>
            <w:r w:rsidR="001D69E0" w:rsidRPr="0099612B">
              <w:rPr>
                <w:rFonts w:ascii="Times New Roman" w:hAnsi="Times New Roman" w:cs="Times New Roman"/>
                <w:color w:val="000000"/>
                <w:sz w:val="24"/>
                <w:szCs w:val="24"/>
                <w:lang w:val="en-US"/>
              </w:rPr>
              <w:t xml:space="preserve">under the contract of free of charge transfer of property to Black Sea Fleet </w:t>
            </w:r>
            <w:r w:rsidR="005A58DB" w:rsidRPr="0099612B">
              <w:rPr>
                <w:rFonts w:ascii="Times New Roman" w:hAnsi="Times New Roman" w:cs="Times New Roman"/>
                <w:color w:val="000000"/>
                <w:sz w:val="24"/>
                <w:szCs w:val="24"/>
                <w:lang w:val="en-US"/>
              </w:rPr>
              <w:t>of Department of Defense of Russian Federation</w:t>
            </w:r>
            <w:r w:rsidR="009236C1" w:rsidRPr="0099612B">
              <w:rPr>
                <w:rFonts w:ascii="Times New Roman" w:hAnsi="Times New Roman" w:cs="Times New Roman"/>
                <w:color w:val="000000"/>
                <w:sz w:val="24"/>
                <w:szCs w:val="24"/>
                <w:lang w:val="en-US"/>
              </w:rPr>
              <w:t xml:space="preserve"> to ownership of </w:t>
            </w:r>
            <w:proofErr w:type="spellStart"/>
            <w:r w:rsidR="009236C1" w:rsidRPr="0099612B">
              <w:rPr>
                <w:rFonts w:ascii="Times New Roman" w:hAnsi="Times New Roman" w:cs="Times New Roman"/>
                <w:color w:val="000000"/>
                <w:sz w:val="24"/>
                <w:szCs w:val="24"/>
                <w:lang w:val="en-US"/>
              </w:rPr>
              <w:t>Krimea</w:t>
            </w:r>
            <w:proofErr w:type="spellEnd"/>
            <w:r w:rsidR="009236C1" w:rsidRPr="0099612B">
              <w:rPr>
                <w:rFonts w:ascii="Times New Roman" w:hAnsi="Times New Roman" w:cs="Times New Roman"/>
                <w:color w:val="000000"/>
                <w:sz w:val="24"/>
                <w:szCs w:val="24"/>
                <w:lang w:val="en-US"/>
              </w:rPr>
              <w:t xml:space="preserve"> Republic and Sevastopol.</w:t>
            </w:r>
          </w:p>
        </w:tc>
      </w:tr>
      <w:tr w:rsidR="008D5552" w:rsidRPr="00335DFA" w:rsidTr="008B313B">
        <w:tc>
          <w:tcPr>
            <w:tcW w:w="9782" w:type="dxa"/>
            <w:gridSpan w:val="2"/>
          </w:tcPr>
          <w:p w:rsidR="008D5552" w:rsidRPr="0099612B" w:rsidRDefault="008D5552" w:rsidP="00BB07E3">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t>Disclosure of insider information on item No.</w:t>
            </w:r>
            <w:r w:rsidR="00BB07E3"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9 “</w:t>
            </w:r>
            <w:r w:rsidR="004A690C" w:rsidRPr="0099612B">
              <w:rPr>
                <w:rFonts w:ascii="Times New Roman" w:hAnsi="Times New Roman" w:cs="Times New Roman"/>
                <w:b/>
                <w:color w:val="000000"/>
                <w:sz w:val="24"/>
                <w:szCs w:val="24"/>
                <w:lang w:val="en-US"/>
              </w:rPr>
              <w:t>On approving agency agreement between Kubanenergo JSC and Mobile GTS JSC as interested party transaction</w:t>
            </w:r>
            <w:r w:rsidRPr="0099612B">
              <w:rPr>
                <w:rFonts w:ascii="Times New Roman" w:hAnsi="Times New Roman" w:cs="Times New Roman"/>
                <w:b/>
                <w:sz w:val="24"/>
                <w:szCs w:val="24"/>
                <w:lang w:val="en-US"/>
              </w:rPr>
              <w:t>”</w:t>
            </w:r>
          </w:p>
        </w:tc>
      </w:tr>
      <w:tr w:rsidR="008D5552" w:rsidRPr="00335DFA" w:rsidTr="008B313B">
        <w:tc>
          <w:tcPr>
            <w:tcW w:w="9782" w:type="dxa"/>
            <w:gridSpan w:val="2"/>
          </w:tcPr>
          <w:p w:rsidR="008D5552" w:rsidRPr="0099612B" w:rsidRDefault="008D5552" w:rsidP="00FC7265">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2.2.9.  Decision adopted by issuer’s Board of Directors:</w:t>
            </w:r>
          </w:p>
          <w:p w:rsidR="008D5552" w:rsidRPr="0099612B" w:rsidRDefault="00FF3023" w:rsidP="00D92A22">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1. </w:t>
            </w:r>
            <w:r w:rsidR="00E528BE" w:rsidRPr="0099612B">
              <w:rPr>
                <w:rFonts w:ascii="Times New Roman" w:hAnsi="Times New Roman" w:cs="Times New Roman"/>
                <w:sz w:val="24"/>
                <w:szCs w:val="24"/>
                <w:lang w:val="en-US"/>
              </w:rPr>
              <w:t xml:space="preserve">To determine that agent’s fee on agency agreement concluded between “Kubanenergo” JSC and “Mobile GTS” JSC (hereafter - Contract) on the basis of documents submitted to Principal </w:t>
            </w:r>
            <w:r w:rsidR="00E342D4" w:rsidRPr="0099612B">
              <w:rPr>
                <w:rFonts w:ascii="Times New Roman" w:hAnsi="Times New Roman" w:cs="Times New Roman"/>
                <w:sz w:val="24"/>
                <w:szCs w:val="24"/>
                <w:lang w:val="en-US"/>
              </w:rPr>
              <w:t xml:space="preserve">attached to Agency report amounts 5% from the amount of Agency’s expenses </w:t>
            </w:r>
            <w:r w:rsidR="007B4EB5" w:rsidRPr="0099612B">
              <w:rPr>
                <w:rFonts w:ascii="Times New Roman" w:hAnsi="Times New Roman" w:cs="Times New Roman"/>
                <w:sz w:val="24"/>
                <w:szCs w:val="24"/>
                <w:lang w:val="en-US"/>
              </w:rPr>
              <w:t xml:space="preserve">on fulfillment of Contract and cannot exceed 2 or more percent of Principal’s balance sheet assets according to its financial statements as of the last reporting date, </w:t>
            </w:r>
            <w:r w:rsidR="00D92A22" w:rsidRPr="0099612B">
              <w:rPr>
                <w:rFonts w:ascii="Times New Roman" w:hAnsi="Times New Roman" w:cs="Times New Roman"/>
                <w:sz w:val="24"/>
                <w:szCs w:val="24"/>
                <w:lang w:val="en-US"/>
              </w:rPr>
              <w:t>preceding the adoption of this decision.</w:t>
            </w:r>
          </w:p>
          <w:p w:rsidR="00D92A22" w:rsidRPr="0099612B" w:rsidRDefault="00D92A22" w:rsidP="00C546E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 </w:t>
            </w:r>
            <w:r w:rsidR="00C546ED" w:rsidRPr="0099612B">
              <w:rPr>
                <w:rFonts w:ascii="Times New Roman" w:hAnsi="Times New Roman" w:cs="Times New Roman"/>
                <w:sz w:val="24"/>
                <w:szCs w:val="24"/>
                <w:lang w:val="en-US"/>
              </w:rPr>
              <w:t xml:space="preserve">To approve the agreement as interested party transaction </w:t>
            </w:r>
            <w:r w:rsidR="009F26ED" w:rsidRPr="0099612B">
              <w:rPr>
                <w:rFonts w:ascii="Times New Roman" w:hAnsi="Times New Roman" w:cs="Times New Roman"/>
                <w:sz w:val="24"/>
                <w:szCs w:val="24"/>
                <w:lang w:val="en-US"/>
              </w:rPr>
              <w:t>on</w:t>
            </w:r>
            <w:r w:rsidR="00C546ED" w:rsidRPr="0099612B">
              <w:rPr>
                <w:rFonts w:ascii="Times New Roman" w:hAnsi="Times New Roman" w:cs="Times New Roman"/>
                <w:sz w:val="24"/>
                <w:szCs w:val="24"/>
                <w:lang w:val="en-US"/>
              </w:rPr>
              <w:t xml:space="preserve"> the following conditions:</w:t>
            </w:r>
          </w:p>
          <w:p w:rsidR="00C546ED" w:rsidRPr="0099612B" w:rsidRDefault="009F26ED" w:rsidP="00C546ED">
            <w:pPr>
              <w:pStyle w:val="a3"/>
              <w:spacing w:before="60"/>
              <w:jc w:val="both"/>
              <w:rPr>
                <w:rFonts w:ascii="Times New Roman" w:hAnsi="Times New Roman" w:cs="Times New Roman"/>
                <w:b/>
                <w:sz w:val="24"/>
                <w:szCs w:val="24"/>
                <w:lang w:val="en-US"/>
              </w:rPr>
            </w:pPr>
            <w:r w:rsidRPr="0099612B">
              <w:rPr>
                <w:rFonts w:ascii="Times New Roman" w:hAnsi="Times New Roman" w:cs="Times New Roman"/>
                <w:b/>
                <w:sz w:val="24"/>
                <w:szCs w:val="24"/>
                <w:lang w:val="en-US"/>
              </w:rPr>
              <w:t>Parties:</w:t>
            </w:r>
          </w:p>
          <w:p w:rsidR="009F26ED" w:rsidRPr="0099612B" w:rsidRDefault="009F26ED" w:rsidP="00C546E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Principal – “Kubanenergo” JSC</w:t>
            </w:r>
          </w:p>
          <w:p w:rsidR="009F26ED" w:rsidRPr="0099612B" w:rsidRDefault="009F26ED" w:rsidP="00C546E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Agency – “Mobile GTS” JSC</w:t>
            </w:r>
          </w:p>
          <w:p w:rsidR="009F26ED" w:rsidRPr="00335DFA" w:rsidRDefault="009F26ED" w:rsidP="00C546ED">
            <w:pPr>
              <w:pStyle w:val="a3"/>
              <w:spacing w:before="60"/>
              <w:jc w:val="both"/>
              <w:rPr>
                <w:rFonts w:ascii="Times New Roman" w:hAnsi="Times New Roman" w:cs="Times New Roman"/>
                <w:b/>
                <w:sz w:val="24"/>
                <w:szCs w:val="24"/>
                <w:lang w:val="en-US"/>
              </w:rPr>
            </w:pPr>
            <w:r w:rsidRPr="0099612B">
              <w:rPr>
                <w:rFonts w:ascii="Times New Roman" w:hAnsi="Times New Roman" w:cs="Times New Roman"/>
                <w:b/>
                <w:sz w:val="24"/>
                <w:szCs w:val="24"/>
                <w:lang w:val="en-US"/>
              </w:rPr>
              <w:t>Subject</w:t>
            </w:r>
            <w:r w:rsidRPr="00335DFA">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of</w:t>
            </w:r>
            <w:r w:rsidRPr="00335DFA">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the</w:t>
            </w:r>
            <w:r w:rsidRPr="00335DFA">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Contract</w:t>
            </w:r>
            <w:r w:rsidRPr="00335DFA">
              <w:rPr>
                <w:rFonts w:ascii="Times New Roman" w:hAnsi="Times New Roman" w:cs="Times New Roman"/>
                <w:b/>
                <w:sz w:val="24"/>
                <w:szCs w:val="24"/>
                <w:lang w:val="en-US"/>
              </w:rPr>
              <w:t>:</w:t>
            </w:r>
          </w:p>
          <w:p w:rsidR="0099612B" w:rsidRPr="0099612B" w:rsidRDefault="0099612B" w:rsidP="0099612B">
            <w:pPr>
              <w:jc w:val="both"/>
              <w:rPr>
                <w:lang w:val="en-US"/>
              </w:rPr>
            </w:pPr>
            <w:r w:rsidRPr="0099612B">
              <w:rPr>
                <w:lang w:val="en-US"/>
              </w:rPr>
              <w:t xml:space="preserve">Principal instructs, and the Agency undertakes to perform legal and other actions on behalf of and at the expense of the Principal, namely to conclude contracts on behalf of the Principal for the donation of the property of RISE for the ownership of users in the territory of the Republic of </w:t>
            </w:r>
            <w:r w:rsidRPr="0099612B">
              <w:rPr>
                <w:lang w:val="en-US"/>
              </w:rPr>
              <w:lastRenderedPageBreak/>
              <w:t xml:space="preserve">Crimea and Sevastopol, approved by the authorized authorities and administration of the Republic of Crimea, the city of Sevastopol and the federal Ministry of </w:t>
            </w:r>
            <w:proofErr w:type="spellStart"/>
            <w:r w:rsidRPr="0099612B">
              <w:rPr>
                <w:lang w:val="en-US"/>
              </w:rPr>
              <w:t>Defence</w:t>
            </w:r>
            <w:proofErr w:type="spellEnd"/>
            <w:r w:rsidRPr="0099612B">
              <w:rPr>
                <w:lang w:val="en-US"/>
              </w:rPr>
              <w:t xml:space="preserve"> and to transfer of  RISE to specified users; and the Principal shall pay to the Agency the compensation for the performance of this order, and to compensate for costs incurred by the Agency when fulfilling the instructions of the Principal.</w:t>
            </w:r>
          </w:p>
          <w:p w:rsidR="009F26ED" w:rsidRPr="0099612B" w:rsidRDefault="00EE7D4D" w:rsidP="00C546ED">
            <w:pPr>
              <w:pStyle w:val="a3"/>
              <w:spacing w:before="60"/>
              <w:jc w:val="both"/>
              <w:rPr>
                <w:rFonts w:ascii="Times New Roman" w:hAnsi="Times New Roman" w:cs="Times New Roman"/>
                <w:b/>
                <w:sz w:val="24"/>
                <w:szCs w:val="24"/>
                <w:lang w:val="en-US"/>
              </w:rPr>
            </w:pPr>
            <w:r w:rsidRPr="0099612B">
              <w:rPr>
                <w:rFonts w:ascii="Times New Roman" w:hAnsi="Times New Roman" w:cs="Times New Roman"/>
                <w:b/>
                <w:sz w:val="24"/>
                <w:szCs w:val="24"/>
                <w:lang w:val="en-US"/>
              </w:rPr>
              <w:t>Contract price:</w:t>
            </w:r>
          </w:p>
          <w:p w:rsidR="00EE7D4D" w:rsidRPr="0099612B" w:rsidRDefault="00B356D4" w:rsidP="00C546E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Remuneration of Agent determines on the basis of documents submitted to Principal attached to Agency report amounts 5% from the amount of Agency’s expenses on fulfillment of Contract.</w:t>
            </w:r>
          </w:p>
          <w:p w:rsidR="00B356D4" w:rsidRPr="0099612B" w:rsidRDefault="00B356D4" w:rsidP="00C546ED">
            <w:pPr>
              <w:pStyle w:val="a3"/>
              <w:spacing w:before="60"/>
              <w:jc w:val="both"/>
              <w:rPr>
                <w:rFonts w:ascii="Times New Roman" w:hAnsi="Times New Roman" w:cs="Times New Roman"/>
                <w:b/>
                <w:sz w:val="24"/>
                <w:szCs w:val="24"/>
                <w:lang w:val="en-US"/>
              </w:rPr>
            </w:pPr>
            <w:r w:rsidRPr="0099612B">
              <w:rPr>
                <w:rFonts w:ascii="Times New Roman" w:hAnsi="Times New Roman" w:cs="Times New Roman"/>
                <w:b/>
                <w:sz w:val="24"/>
                <w:szCs w:val="24"/>
                <w:lang w:val="en-US"/>
              </w:rPr>
              <w:t>Term</w:t>
            </w:r>
            <w:r w:rsidR="00151189" w:rsidRPr="0099612B">
              <w:rPr>
                <w:rFonts w:ascii="Times New Roman" w:hAnsi="Times New Roman" w:cs="Times New Roman"/>
                <w:b/>
                <w:sz w:val="24"/>
                <w:szCs w:val="24"/>
                <w:lang w:val="en-US"/>
              </w:rPr>
              <w:t>s</w:t>
            </w:r>
            <w:r w:rsidRPr="0099612B">
              <w:rPr>
                <w:rFonts w:ascii="Times New Roman" w:hAnsi="Times New Roman" w:cs="Times New Roman"/>
                <w:b/>
                <w:sz w:val="24"/>
                <w:szCs w:val="24"/>
                <w:lang w:val="en-US"/>
              </w:rPr>
              <w:t xml:space="preserve"> of the Contract:</w:t>
            </w:r>
          </w:p>
          <w:p w:rsidR="00B356D4" w:rsidRPr="0099612B" w:rsidRDefault="00151189" w:rsidP="00A256A1">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Contract comes into force from the date of signing. The Contract is valid till October 31, 2014. </w:t>
            </w:r>
            <w:r w:rsidR="00A256A1" w:rsidRPr="0099612B">
              <w:rPr>
                <w:rFonts w:ascii="Times New Roman" w:hAnsi="Times New Roman" w:cs="Times New Roman"/>
                <w:sz w:val="24"/>
                <w:szCs w:val="24"/>
                <w:lang w:val="en-US"/>
              </w:rPr>
              <w:t>Duration of the contract may be extended by written agreement of the parties.</w:t>
            </w:r>
          </w:p>
        </w:tc>
      </w:tr>
      <w:tr w:rsidR="008D5552" w:rsidRPr="00335DFA" w:rsidTr="008B313B">
        <w:trPr>
          <w:trHeight w:val="1125"/>
        </w:trPr>
        <w:tc>
          <w:tcPr>
            <w:tcW w:w="9782" w:type="dxa"/>
            <w:gridSpan w:val="2"/>
          </w:tcPr>
          <w:p w:rsidR="008D5552" w:rsidRPr="0099612B" w:rsidRDefault="008D5552" w:rsidP="009E6828">
            <w:pPr>
              <w:pStyle w:val="a3"/>
              <w:spacing w:before="60"/>
              <w:jc w:val="both"/>
              <w:rPr>
                <w:rFonts w:ascii="Times New Roman" w:hAnsi="Times New Roman" w:cs="Times New Roman"/>
                <w:b/>
                <w:sz w:val="24"/>
                <w:szCs w:val="24"/>
                <w:lang w:val="en-US"/>
              </w:rPr>
            </w:pPr>
            <w:r w:rsidRPr="0099612B">
              <w:rPr>
                <w:rFonts w:ascii="Times New Roman" w:hAnsi="Times New Roman" w:cs="Times New Roman"/>
                <w:sz w:val="24"/>
                <w:szCs w:val="24"/>
                <w:lang w:val="en-US"/>
              </w:rPr>
              <w:lastRenderedPageBreak/>
              <w:t xml:space="preserve">2.3. Date of holding the meeting of Board of Directors: </w:t>
            </w:r>
            <w:r w:rsidR="00A256A1" w:rsidRPr="0099612B">
              <w:rPr>
                <w:rFonts w:ascii="Times New Roman" w:hAnsi="Times New Roman" w:cs="Times New Roman"/>
                <w:sz w:val="24"/>
                <w:szCs w:val="24"/>
                <w:lang w:val="en-US"/>
              </w:rPr>
              <w:t>September 12, 2014</w:t>
            </w:r>
          </w:p>
          <w:p w:rsidR="008D5552" w:rsidRPr="0099612B" w:rsidRDefault="008D5552" w:rsidP="00A256A1">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2.4. Date of making and number of minutes of meeting: </w:t>
            </w:r>
            <w:r w:rsidR="00A256A1" w:rsidRPr="0099612B">
              <w:rPr>
                <w:rFonts w:ascii="Times New Roman" w:hAnsi="Times New Roman" w:cs="Times New Roman"/>
                <w:sz w:val="24"/>
                <w:szCs w:val="24"/>
                <w:lang w:val="en-US"/>
              </w:rPr>
              <w:t>September</w:t>
            </w:r>
            <w:r w:rsidRPr="0099612B">
              <w:rPr>
                <w:rFonts w:ascii="Times New Roman" w:hAnsi="Times New Roman" w:cs="Times New Roman"/>
                <w:sz w:val="24"/>
                <w:szCs w:val="24"/>
                <w:lang w:val="en-US"/>
              </w:rPr>
              <w:t xml:space="preserve"> 1</w:t>
            </w:r>
            <w:r w:rsidR="00A256A1" w:rsidRPr="0099612B">
              <w:rPr>
                <w:rFonts w:ascii="Times New Roman" w:hAnsi="Times New Roman" w:cs="Times New Roman"/>
                <w:sz w:val="24"/>
                <w:szCs w:val="24"/>
                <w:lang w:val="en-US"/>
              </w:rPr>
              <w:t>2</w:t>
            </w:r>
            <w:r w:rsidRPr="0099612B">
              <w:rPr>
                <w:rFonts w:ascii="Times New Roman" w:hAnsi="Times New Roman" w:cs="Times New Roman"/>
                <w:sz w:val="24"/>
                <w:szCs w:val="24"/>
                <w:lang w:val="en-US"/>
              </w:rPr>
              <w:t>, 2014, minutes of meeting No.19</w:t>
            </w:r>
            <w:r w:rsidR="00A256A1" w:rsidRPr="0099612B">
              <w:rPr>
                <w:rFonts w:ascii="Times New Roman" w:hAnsi="Times New Roman" w:cs="Times New Roman"/>
                <w:sz w:val="24"/>
                <w:szCs w:val="24"/>
                <w:lang w:val="en-US"/>
              </w:rPr>
              <w:t>6</w:t>
            </w:r>
            <w:r w:rsidRPr="0099612B">
              <w:rPr>
                <w:rFonts w:ascii="Times New Roman" w:hAnsi="Times New Roman" w:cs="Times New Roman"/>
                <w:sz w:val="24"/>
                <w:szCs w:val="24"/>
                <w:lang w:val="en-US"/>
              </w:rPr>
              <w:t>/2014</w:t>
            </w:r>
            <w:r w:rsidRPr="0099612B">
              <w:rPr>
                <w:rFonts w:ascii="Times New Roman" w:hAnsi="Times New Roman" w:cs="Times New Roman"/>
                <w:b/>
                <w:sz w:val="24"/>
                <w:szCs w:val="24"/>
                <w:lang w:val="en-US"/>
              </w:rPr>
              <w:t>.</w:t>
            </w:r>
          </w:p>
        </w:tc>
      </w:tr>
      <w:tr w:rsidR="008D5552" w:rsidRPr="0099612B" w:rsidTr="008B313B">
        <w:tc>
          <w:tcPr>
            <w:tcW w:w="9782" w:type="dxa"/>
            <w:gridSpan w:val="2"/>
          </w:tcPr>
          <w:p w:rsidR="008D5552" w:rsidRPr="0099612B" w:rsidRDefault="008D5552" w:rsidP="009E6828">
            <w:pPr>
              <w:pStyle w:val="a3"/>
              <w:spacing w:before="60"/>
              <w:ind w:left="360"/>
              <w:jc w:val="center"/>
              <w:rPr>
                <w:rFonts w:ascii="Times New Roman" w:hAnsi="Times New Roman" w:cs="Times New Roman"/>
                <w:sz w:val="24"/>
                <w:szCs w:val="24"/>
              </w:rPr>
            </w:pPr>
            <w:r w:rsidRPr="0099612B">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092812" w:rsidRPr="0099612B" w:rsidTr="008B313B">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092812" w:rsidRPr="0099612B" w:rsidRDefault="00092812" w:rsidP="009E6828">
            <w:pPr>
              <w:spacing w:before="60"/>
              <w:ind w:left="57"/>
              <w:jc w:val="both"/>
              <w:rPr>
                <w:lang w:val="en-US" w:eastAsia="en-US"/>
              </w:rPr>
            </w:pPr>
            <w:r w:rsidRPr="0099612B">
              <w:rPr>
                <w:lang w:val="en-US" w:eastAsia="en-US"/>
              </w:rPr>
              <w:t xml:space="preserve">3.1 </w:t>
            </w:r>
            <w:r w:rsidR="006E66DB" w:rsidRPr="0099612B">
              <w:rPr>
                <w:lang w:val="en-US" w:eastAsia="en-US"/>
              </w:rPr>
              <w:t>D</w:t>
            </w:r>
            <w:r w:rsidRPr="0099612B">
              <w:rPr>
                <w:lang w:val="en-US" w:eastAsia="en-US"/>
              </w:rPr>
              <w:t xml:space="preserve">eputy director general in charge of corporate management (attorney dated </w:t>
            </w:r>
            <w:r w:rsidR="00A0622C" w:rsidRPr="0099612B">
              <w:rPr>
                <w:lang w:val="en-US" w:eastAsia="en-US"/>
              </w:rPr>
              <w:t>02.04.2014</w:t>
            </w:r>
            <w:r w:rsidRPr="0099612B">
              <w:rPr>
                <w:lang w:val="en-US" w:eastAsia="en-US"/>
              </w:rPr>
              <w:t>)</w:t>
            </w:r>
          </w:p>
          <w:p w:rsidR="00092812" w:rsidRPr="0099612B" w:rsidRDefault="00092812" w:rsidP="009E6828">
            <w:pPr>
              <w:spacing w:before="60"/>
              <w:ind w:left="57"/>
              <w:rPr>
                <w:lang w:val="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092812" w:rsidRPr="0099612B" w:rsidRDefault="00092812" w:rsidP="009E6828">
            <w:pPr>
              <w:spacing w:before="60"/>
              <w:jc w:val="center"/>
              <w:rPr>
                <w:lang w:val="en-US"/>
              </w:rPr>
            </w:pPr>
          </w:p>
          <w:p w:rsidR="00092812" w:rsidRPr="0099612B" w:rsidRDefault="00092812" w:rsidP="009E6828">
            <w:pPr>
              <w:spacing w:before="60"/>
              <w:jc w:val="center"/>
              <w:rPr>
                <w:lang w:val="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092812" w:rsidRPr="0099612B" w:rsidRDefault="00092812" w:rsidP="009E6828">
            <w:pPr>
              <w:spacing w:before="60"/>
              <w:rPr>
                <w:lang w:val="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092812" w:rsidRPr="0099612B" w:rsidRDefault="00A0622C" w:rsidP="009E6828">
            <w:pPr>
              <w:spacing w:before="60"/>
              <w:ind w:right="-315"/>
              <w:rPr>
                <w:lang w:val="en-US"/>
              </w:rPr>
            </w:pPr>
            <w:r w:rsidRPr="0099612B">
              <w:rPr>
                <w:lang w:val="en-US" w:eastAsia="en-US"/>
              </w:rPr>
              <w:t>Konevets K.S.</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092812" w:rsidRPr="0099612B" w:rsidRDefault="00092812" w:rsidP="009E6828">
            <w:pPr>
              <w:spacing w:before="60"/>
              <w:rPr>
                <w:lang w:val="en-US"/>
              </w:rPr>
            </w:pPr>
          </w:p>
        </w:tc>
      </w:tr>
      <w:tr w:rsidR="00092812" w:rsidRPr="0099612B" w:rsidTr="008B313B">
        <w:trPr>
          <w:cantSplit/>
        </w:trPr>
        <w:tc>
          <w:tcPr>
            <w:tcW w:w="5812" w:type="dxa"/>
            <w:vMerge/>
            <w:tcBorders>
              <w:top w:val="single" w:sz="4" w:space="0" w:color="auto"/>
              <w:left w:val="single" w:sz="4" w:space="0" w:color="auto"/>
              <w:bottom w:val="nil"/>
              <w:right w:val="nil"/>
            </w:tcBorders>
            <w:vAlign w:val="center"/>
            <w:hideMark/>
          </w:tcPr>
          <w:p w:rsidR="00092812" w:rsidRPr="0099612B" w:rsidRDefault="00092812" w:rsidP="009E6828">
            <w:pPr>
              <w:autoSpaceDE/>
              <w:autoSpaceDN/>
              <w:spacing w:before="60"/>
              <w:rPr>
                <w:lang w:val="en-US"/>
              </w:rPr>
            </w:pPr>
          </w:p>
        </w:tc>
        <w:tc>
          <w:tcPr>
            <w:tcW w:w="1700" w:type="dxa"/>
            <w:tcBorders>
              <w:top w:val="nil"/>
              <w:left w:val="nil"/>
              <w:bottom w:val="nil"/>
              <w:right w:val="nil"/>
            </w:tcBorders>
            <w:tcMar>
              <w:top w:w="0" w:type="dxa"/>
              <w:left w:w="28" w:type="dxa"/>
              <w:bottom w:w="0" w:type="dxa"/>
              <w:right w:w="28" w:type="dxa"/>
            </w:tcMar>
            <w:hideMark/>
          </w:tcPr>
          <w:p w:rsidR="00092812" w:rsidRPr="0099612B" w:rsidRDefault="00092812" w:rsidP="009E6828">
            <w:pPr>
              <w:spacing w:before="60"/>
              <w:jc w:val="center"/>
              <w:rPr>
                <w:lang w:val="en-US"/>
              </w:rPr>
            </w:pPr>
            <w:r w:rsidRPr="0099612B">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092812" w:rsidRPr="0099612B" w:rsidRDefault="00092812" w:rsidP="009E6828">
            <w:pPr>
              <w:spacing w:before="60"/>
              <w:rPr>
                <w:lang w:val="en-US"/>
              </w:rPr>
            </w:pPr>
          </w:p>
        </w:tc>
        <w:tc>
          <w:tcPr>
            <w:tcW w:w="1842" w:type="dxa"/>
            <w:tcBorders>
              <w:top w:val="nil"/>
              <w:left w:val="nil"/>
              <w:bottom w:val="nil"/>
              <w:right w:val="nil"/>
            </w:tcBorders>
            <w:tcMar>
              <w:top w:w="0" w:type="dxa"/>
              <w:left w:w="28" w:type="dxa"/>
              <w:bottom w:w="0" w:type="dxa"/>
              <w:right w:w="28" w:type="dxa"/>
            </w:tcMar>
          </w:tcPr>
          <w:p w:rsidR="00092812" w:rsidRPr="0099612B" w:rsidRDefault="00092812" w:rsidP="009E6828">
            <w:pPr>
              <w:spacing w:before="60"/>
              <w:rPr>
                <w:lang w:val="en-US"/>
              </w:rPr>
            </w:pPr>
          </w:p>
        </w:tc>
        <w:tc>
          <w:tcPr>
            <w:tcW w:w="287" w:type="dxa"/>
            <w:tcBorders>
              <w:top w:val="nil"/>
              <w:left w:val="nil"/>
              <w:bottom w:val="nil"/>
              <w:right w:val="single" w:sz="4" w:space="0" w:color="auto"/>
            </w:tcBorders>
            <w:tcMar>
              <w:top w:w="0" w:type="dxa"/>
              <w:left w:w="28" w:type="dxa"/>
              <w:bottom w:w="0" w:type="dxa"/>
              <w:right w:w="28" w:type="dxa"/>
            </w:tcMar>
          </w:tcPr>
          <w:p w:rsidR="00092812" w:rsidRPr="0099612B" w:rsidRDefault="00092812" w:rsidP="009E6828">
            <w:pPr>
              <w:spacing w:before="60"/>
              <w:rPr>
                <w:lang w:val="en-US"/>
              </w:rPr>
            </w:pPr>
          </w:p>
        </w:tc>
      </w:tr>
      <w:tr w:rsidR="00092812" w:rsidRPr="0099612B" w:rsidTr="008B313B">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092812" w:rsidRPr="0099612B" w:rsidRDefault="00092812" w:rsidP="00A256A1">
            <w:pPr>
              <w:spacing w:before="60"/>
              <w:rPr>
                <w:lang w:val="en-US" w:eastAsia="en-US"/>
              </w:rPr>
            </w:pPr>
            <w:r w:rsidRPr="0099612B">
              <w:rPr>
                <w:lang w:val="en-US" w:eastAsia="en-US"/>
              </w:rPr>
              <w:t xml:space="preserve">3.2 Date: </w:t>
            </w:r>
            <w:r w:rsidR="00A256A1" w:rsidRPr="0099612B">
              <w:rPr>
                <w:lang w:val="en-US" w:eastAsia="en-US"/>
              </w:rPr>
              <w:t>15</w:t>
            </w:r>
            <w:r w:rsidR="006C2A45" w:rsidRPr="0099612B">
              <w:rPr>
                <w:lang w:val="en-US" w:eastAsia="en-US"/>
              </w:rPr>
              <w:t xml:space="preserve"> </w:t>
            </w:r>
            <w:r w:rsidR="00A256A1" w:rsidRPr="0099612B">
              <w:rPr>
                <w:lang w:val="en-US" w:eastAsia="en-US"/>
              </w:rPr>
              <w:t>September</w:t>
            </w:r>
            <w:r w:rsidR="00CE0DEE" w:rsidRPr="0099612B">
              <w:rPr>
                <w:lang w:val="en-US"/>
              </w:rPr>
              <w:t xml:space="preserve"> </w:t>
            </w:r>
            <w:r w:rsidR="00850252" w:rsidRPr="0099612B">
              <w:rPr>
                <w:lang w:val="en-US"/>
              </w:rPr>
              <w:t>2014</w:t>
            </w:r>
          </w:p>
        </w:tc>
        <w:tc>
          <w:tcPr>
            <w:tcW w:w="1700" w:type="dxa"/>
            <w:tcBorders>
              <w:top w:val="nil"/>
              <w:left w:val="nil"/>
              <w:bottom w:val="nil"/>
              <w:right w:val="nil"/>
            </w:tcBorders>
            <w:tcMar>
              <w:top w:w="0" w:type="dxa"/>
              <w:left w:w="28" w:type="dxa"/>
              <w:bottom w:w="0" w:type="dxa"/>
              <w:right w:w="28" w:type="dxa"/>
            </w:tcMar>
            <w:vAlign w:val="bottom"/>
          </w:tcPr>
          <w:p w:rsidR="00092812" w:rsidRPr="0099612B" w:rsidRDefault="00092812" w:rsidP="009E6828">
            <w:pPr>
              <w:spacing w:before="60"/>
              <w:jc w:val="center"/>
              <w:rPr>
                <w:lang w:val="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092812" w:rsidRPr="0099612B" w:rsidRDefault="00092812" w:rsidP="009E6828">
            <w:pPr>
              <w:spacing w:before="60"/>
            </w:pPr>
          </w:p>
        </w:tc>
      </w:tr>
      <w:tr w:rsidR="00092812" w:rsidRPr="0099612B" w:rsidTr="008B313B">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092812" w:rsidRPr="0099612B" w:rsidRDefault="00092812" w:rsidP="003F07F1">
            <w:pPr>
              <w:spacing w:before="60"/>
              <w:rPr>
                <w:lang w:val="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092812" w:rsidRPr="0099612B" w:rsidRDefault="00910E92" w:rsidP="009E6828">
            <w:pPr>
              <w:spacing w:before="60"/>
              <w:jc w:val="center"/>
            </w:pPr>
            <w:r w:rsidRPr="0099612B">
              <w:rPr>
                <w:lang w:val="en-US"/>
              </w:rPr>
              <w:t>seal</w:t>
            </w:r>
            <w:r w:rsidR="00092812" w:rsidRPr="0099612B">
              <w:rPr>
                <w:lang w:val="en-US"/>
              </w:rPr>
              <w:t xml:space="preserve">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092812" w:rsidRPr="0099612B" w:rsidRDefault="00092812" w:rsidP="009E6828">
            <w:pPr>
              <w:spacing w:before="60"/>
            </w:pPr>
          </w:p>
        </w:tc>
      </w:tr>
    </w:tbl>
    <w:p w:rsidR="00092812" w:rsidRPr="0099612B" w:rsidRDefault="00092812" w:rsidP="003F07F1">
      <w:pPr>
        <w:spacing w:before="60"/>
        <w:rPr>
          <w:lang w:val="en-US"/>
        </w:rPr>
      </w:pPr>
    </w:p>
    <w:sectPr w:rsidR="00092812" w:rsidRPr="0099612B" w:rsidSect="008B313B">
      <w:pgSz w:w="11906" w:h="16838"/>
      <w:pgMar w:top="993"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4976"/>
    <w:multiLevelType w:val="hybridMultilevel"/>
    <w:tmpl w:val="C93ED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B156A3"/>
    <w:multiLevelType w:val="multilevel"/>
    <w:tmpl w:val="CD9677D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41B07F8"/>
    <w:multiLevelType w:val="hybridMultilevel"/>
    <w:tmpl w:val="3FA62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6E7EDD"/>
    <w:multiLevelType w:val="multilevel"/>
    <w:tmpl w:val="85D47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2B3C5B"/>
    <w:multiLevelType w:val="multilevel"/>
    <w:tmpl w:val="DD3CC6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D591358"/>
    <w:multiLevelType w:val="hybridMultilevel"/>
    <w:tmpl w:val="8592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BA3D7E"/>
    <w:multiLevelType w:val="hybridMultilevel"/>
    <w:tmpl w:val="065AF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144054"/>
    <w:multiLevelType w:val="hybridMultilevel"/>
    <w:tmpl w:val="3C68EF56"/>
    <w:lvl w:ilvl="0" w:tplc="D5187B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233362"/>
    <w:multiLevelType w:val="hybridMultilevel"/>
    <w:tmpl w:val="4EBC0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9C4684"/>
    <w:multiLevelType w:val="hybridMultilevel"/>
    <w:tmpl w:val="7E70E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A14751"/>
    <w:multiLevelType w:val="hybridMultilevel"/>
    <w:tmpl w:val="5C6E850E"/>
    <w:lvl w:ilvl="0" w:tplc="235CD4E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5004D1C"/>
    <w:multiLevelType w:val="hybridMultilevel"/>
    <w:tmpl w:val="F4621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39585F"/>
    <w:multiLevelType w:val="hybridMultilevel"/>
    <w:tmpl w:val="075CA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7515DC"/>
    <w:multiLevelType w:val="hybridMultilevel"/>
    <w:tmpl w:val="71207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9F2AA8"/>
    <w:multiLevelType w:val="hybridMultilevel"/>
    <w:tmpl w:val="39E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2B712E"/>
    <w:multiLevelType w:val="hybridMultilevel"/>
    <w:tmpl w:val="5C662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07070B"/>
    <w:multiLevelType w:val="hybridMultilevel"/>
    <w:tmpl w:val="C4800A5E"/>
    <w:lvl w:ilvl="0" w:tplc="1880527C">
      <w:start w:val="7"/>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6202ED"/>
    <w:multiLevelType w:val="hybridMultilevel"/>
    <w:tmpl w:val="D4624974"/>
    <w:lvl w:ilvl="0" w:tplc="6582B45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775701"/>
    <w:multiLevelType w:val="hybridMultilevel"/>
    <w:tmpl w:val="39C45F56"/>
    <w:lvl w:ilvl="0" w:tplc="1B3409A4">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15A722D"/>
    <w:multiLevelType w:val="multilevel"/>
    <w:tmpl w:val="49188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4AC6B6D"/>
    <w:multiLevelType w:val="hybridMultilevel"/>
    <w:tmpl w:val="72BCFB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263A20"/>
    <w:multiLevelType w:val="hybridMultilevel"/>
    <w:tmpl w:val="69929028"/>
    <w:lvl w:ilvl="0" w:tplc="D428A96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564418"/>
    <w:multiLevelType w:val="hybridMultilevel"/>
    <w:tmpl w:val="4544BAA0"/>
    <w:lvl w:ilvl="0" w:tplc="200CBA9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1F71C1"/>
    <w:multiLevelType w:val="multilevel"/>
    <w:tmpl w:val="9DD0D4D4"/>
    <w:lvl w:ilvl="0">
      <w:start w:val="1"/>
      <w:numFmt w:val="decimal"/>
      <w:lvlText w:val="%1."/>
      <w:lvlJc w:val="left"/>
      <w:pPr>
        <w:ind w:left="495" w:hanging="49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nsid w:val="6CF37435"/>
    <w:multiLevelType w:val="hybridMultilevel"/>
    <w:tmpl w:val="A9AA6104"/>
    <w:lvl w:ilvl="0" w:tplc="0E4E0CD6">
      <w:start w:val="3"/>
      <w:numFmt w:val="decimal"/>
      <w:lvlText w:val="%1."/>
      <w:lvlJc w:val="left"/>
      <w:pPr>
        <w:ind w:left="360" w:hanging="360"/>
      </w:pPr>
      <w:rPr>
        <w:rFonts w:asciiTheme="minorHAnsi" w:hAnsiTheme="minorHAnsi"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04F5F24"/>
    <w:multiLevelType w:val="hybridMultilevel"/>
    <w:tmpl w:val="FDE4C3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0EC4B5F"/>
    <w:multiLevelType w:val="hybridMultilevel"/>
    <w:tmpl w:val="7BD06ECA"/>
    <w:lvl w:ilvl="0" w:tplc="7BE0A9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CFC1837"/>
    <w:multiLevelType w:val="hybridMultilevel"/>
    <w:tmpl w:val="B34263A0"/>
    <w:lvl w:ilvl="0" w:tplc="1A326756">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7"/>
  </w:num>
  <w:num w:numId="6">
    <w:abstractNumId w:val="15"/>
  </w:num>
  <w:num w:numId="7">
    <w:abstractNumId w:val="4"/>
  </w:num>
  <w:num w:numId="8">
    <w:abstractNumId w:val="25"/>
  </w:num>
  <w:num w:numId="9">
    <w:abstractNumId w:val="1"/>
  </w:num>
  <w:num w:numId="10">
    <w:abstractNumId w:val="5"/>
  </w:num>
  <w:num w:numId="11">
    <w:abstractNumId w:val="6"/>
  </w:num>
  <w:num w:numId="12">
    <w:abstractNumId w:val="0"/>
  </w:num>
  <w:num w:numId="13">
    <w:abstractNumId w:val="8"/>
  </w:num>
  <w:num w:numId="14">
    <w:abstractNumId w:val="28"/>
  </w:num>
  <w:num w:numId="15">
    <w:abstractNumId w:val="14"/>
  </w:num>
  <w:num w:numId="16">
    <w:abstractNumId w:val="27"/>
  </w:num>
  <w:num w:numId="17">
    <w:abstractNumId w:val="10"/>
  </w:num>
  <w:num w:numId="18">
    <w:abstractNumId w:val="9"/>
  </w:num>
  <w:num w:numId="19">
    <w:abstractNumId w:val="21"/>
  </w:num>
  <w:num w:numId="20">
    <w:abstractNumId w:val="16"/>
  </w:num>
  <w:num w:numId="21">
    <w:abstractNumId w:val="3"/>
  </w:num>
  <w:num w:numId="22">
    <w:abstractNumId w:val="22"/>
  </w:num>
  <w:num w:numId="23">
    <w:abstractNumId w:val="17"/>
  </w:num>
  <w:num w:numId="24">
    <w:abstractNumId w:val="24"/>
  </w:num>
  <w:num w:numId="25">
    <w:abstractNumId w:val="29"/>
  </w:num>
  <w:num w:numId="26">
    <w:abstractNumId w:val="18"/>
  </w:num>
  <w:num w:numId="27">
    <w:abstractNumId w:val="11"/>
  </w:num>
  <w:num w:numId="28">
    <w:abstractNumId w:val="19"/>
  </w:num>
  <w:num w:numId="29">
    <w:abstractNumId w:val="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12"/>
    <w:rsid w:val="000035E0"/>
    <w:rsid w:val="00005411"/>
    <w:rsid w:val="000123DC"/>
    <w:rsid w:val="000149E8"/>
    <w:rsid w:val="00015EC8"/>
    <w:rsid w:val="000164A5"/>
    <w:rsid w:val="000218F6"/>
    <w:rsid w:val="0002272A"/>
    <w:rsid w:val="00034B68"/>
    <w:rsid w:val="00043C5F"/>
    <w:rsid w:val="000472B1"/>
    <w:rsid w:val="000501B4"/>
    <w:rsid w:val="000602C7"/>
    <w:rsid w:val="00063CEA"/>
    <w:rsid w:val="00072E77"/>
    <w:rsid w:val="00074DC5"/>
    <w:rsid w:val="00075975"/>
    <w:rsid w:val="00085D68"/>
    <w:rsid w:val="00086EB4"/>
    <w:rsid w:val="000874AF"/>
    <w:rsid w:val="0009038C"/>
    <w:rsid w:val="00092812"/>
    <w:rsid w:val="00094A8E"/>
    <w:rsid w:val="000C4DB2"/>
    <w:rsid w:val="000D057D"/>
    <w:rsid w:val="000D34C3"/>
    <w:rsid w:val="000D730D"/>
    <w:rsid w:val="000D7B87"/>
    <w:rsid w:val="000D7E85"/>
    <w:rsid w:val="000E2B5B"/>
    <w:rsid w:val="000E30EB"/>
    <w:rsid w:val="000E3262"/>
    <w:rsid w:val="000E3367"/>
    <w:rsid w:val="000E7330"/>
    <w:rsid w:val="000E74CC"/>
    <w:rsid w:val="000F46F4"/>
    <w:rsid w:val="0010170D"/>
    <w:rsid w:val="001127A6"/>
    <w:rsid w:val="00113C41"/>
    <w:rsid w:val="001266CA"/>
    <w:rsid w:val="00127108"/>
    <w:rsid w:val="00130631"/>
    <w:rsid w:val="00131F9E"/>
    <w:rsid w:val="0013293F"/>
    <w:rsid w:val="00132B88"/>
    <w:rsid w:val="00151189"/>
    <w:rsid w:val="001516F9"/>
    <w:rsid w:val="00153B5E"/>
    <w:rsid w:val="001566BF"/>
    <w:rsid w:val="00161CC9"/>
    <w:rsid w:val="001670A9"/>
    <w:rsid w:val="00174F89"/>
    <w:rsid w:val="00184C6E"/>
    <w:rsid w:val="00185303"/>
    <w:rsid w:val="00192C80"/>
    <w:rsid w:val="00197772"/>
    <w:rsid w:val="001A1579"/>
    <w:rsid w:val="001A1B8B"/>
    <w:rsid w:val="001A2D03"/>
    <w:rsid w:val="001A2EA8"/>
    <w:rsid w:val="001B0007"/>
    <w:rsid w:val="001B08F6"/>
    <w:rsid w:val="001B15B5"/>
    <w:rsid w:val="001B1B8E"/>
    <w:rsid w:val="001C2E14"/>
    <w:rsid w:val="001D69E0"/>
    <w:rsid w:val="001E231D"/>
    <w:rsid w:val="001F2453"/>
    <w:rsid w:val="001F3CF9"/>
    <w:rsid w:val="001F41EE"/>
    <w:rsid w:val="00214D90"/>
    <w:rsid w:val="00217C76"/>
    <w:rsid w:val="00224519"/>
    <w:rsid w:val="00231836"/>
    <w:rsid w:val="00244BB8"/>
    <w:rsid w:val="00251944"/>
    <w:rsid w:val="00253F18"/>
    <w:rsid w:val="00256B92"/>
    <w:rsid w:val="002570B7"/>
    <w:rsid w:val="002570FB"/>
    <w:rsid w:val="0026651C"/>
    <w:rsid w:val="002667DA"/>
    <w:rsid w:val="00272A27"/>
    <w:rsid w:val="00274D41"/>
    <w:rsid w:val="00274D9E"/>
    <w:rsid w:val="00280A69"/>
    <w:rsid w:val="002863A9"/>
    <w:rsid w:val="0029136E"/>
    <w:rsid w:val="00291FAD"/>
    <w:rsid w:val="00292C8F"/>
    <w:rsid w:val="0029317B"/>
    <w:rsid w:val="002A0F59"/>
    <w:rsid w:val="002A3105"/>
    <w:rsid w:val="002A36E4"/>
    <w:rsid w:val="002B11A6"/>
    <w:rsid w:val="002B224D"/>
    <w:rsid w:val="002B7458"/>
    <w:rsid w:val="002C2AC0"/>
    <w:rsid w:val="002C2E36"/>
    <w:rsid w:val="002C4EB8"/>
    <w:rsid w:val="002D03A4"/>
    <w:rsid w:val="002D5EB8"/>
    <w:rsid w:val="002E2795"/>
    <w:rsid w:val="002E2D86"/>
    <w:rsid w:val="002E7E10"/>
    <w:rsid w:val="002F466F"/>
    <w:rsid w:val="00300DAA"/>
    <w:rsid w:val="00304C16"/>
    <w:rsid w:val="00314249"/>
    <w:rsid w:val="003245CC"/>
    <w:rsid w:val="00330122"/>
    <w:rsid w:val="00335D7A"/>
    <w:rsid w:val="00335DA3"/>
    <w:rsid w:val="00335DFA"/>
    <w:rsid w:val="003637F2"/>
    <w:rsid w:val="003668E4"/>
    <w:rsid w:val="00381593"/>
    <w:rsid w:val="00394737"/>
    <w:rsid w:val="003A5DD2"/>
    <w:rsid w:val="003A71B0"/>
    <w:rsid w:val="003B3ED0"/>
    <w:rsid w:val="003D24FB"/>
    <w:rsid w:val="003D546F"/>
    <w:rsid w:val="003D55BE"/>
    <w:rsid w:val="003E3C47"/>
    <w:rsid w:val="003F07F1"/>
    <w:rsid w:val="00400719"/>
    <w:rsid w:val="00406B52"/>
    <w:rsid w:val="004152AA"/>
    <w:rsid w:val="00424460"/>
    <w:rsid w:val="00425A82"/>
    <w:rsid w:val="00474066"/>
    <w:rsid w:val="00483D59"/>
    <w:rsid w:val="0049256A"/>
    <w:rsid w:val="00492CAD"/>
    <w:rsid w:val="004A690C"/>
    <w:rsid w:val="004A792D"/>
    <w:rsid w:val="004B2EBB"/>
    <w:rsid w:val="004B6A15"/>
    <w:rsid w:val="004C2FD5"/>
    <w:rsid w:val="004E2032"/>
    <w:rsid w:val="004E2324"/>
    <w:rsid w:val="004E2980"/>
    <w:rsid w:val="005065EE"/>
    <w:rsid w:val="005152F8"/>
    <w:rsid w:val="00516D94"/>
    <w:rsid w:val="00527D4F"/>
    <w:rsid w:val="00542FCA"/>
    <w:rsid w:val="005508C6"/>
    <w:rsid w:val="00560DB7"/>
    <w:rsid w:val="00561D4C"/>
    <w:rsid w:val="00571024"/>
    <w:rsid w:val="00576485"/>
    <w:rsid w:val="005854EB"/>
    <w:rsid w:val="005859CE"/>
    <w:rsid w:val="005A58DB"/>
    <w:rsid w:val="005B6212"/>
    <w:rsid w:val="005C4E67"/>
    <w:rsid w:val="005D1CC0"/>
    <w:rsid w:val="005D1D5D"/>
    <w:rsid w:val="005D3EFE"/>
    <w:rsid w:val="005D6325"/>
    <w:rsid w:val="005E4634"/>
    <w:rsid w:val="005F1DD2"/>
    <w:rsid w:val="005F250C"/>
    <w:rsid w:val="005F7513"/>
    <w:rsid w:val="00611374"/>
    <w:rsid w:val="00613CA0"/>
    <w:rsid w:val="00631705"/>
    <w:rsid w:val="006403F4"/>
    <w:rsid w:val="006418FB"/>
    <w:rsid w:val="0064252D"/>
    <w:rsid w:val="00644E31"/>
    <w:rsid w:val="006470B5"/>
    <w:rsid w:val="00654777"/>
    <w:rsid w:val="00670239"/>
    <w:rsid w:val="00672161"/>
    <w:rsid w:val="00690F9B"/>
    <w:rsid w:val="006A6473"/>
    <w:rsid w:val="006B1E4A"/>
    <w:rsid w:val="006B3A0F"/>
    <w:rsid w:val="006B4D8B"/>
    <w:rsid w:val="006C2A45"/>
    <w:rsid w:val="006E66DB"/>
    <w:rsid w:val="006F7907"/>
    <w:rsid w:val="00701F02"/>
    <w:rsid w:val="00705271"/>
    <w:rsid w:val="0071069D"/>
    <w:rsid w:val="00710AF9"/>
    <w:rsid w:val="00710CFB"/>
    <w:rsid w:val="00722F8C"/>
    <w:rsid w:val="007336FF"/>
    <w:rsid w:val="00735E5E"/>
    <w:rsid w:val="00736C45"/>
    <w:rsid w:val="007567E3"/>
    <w:rsid w:val="00764289"/>
    <w:rsid w:val="007657AA"/>
    <w:rsid w:val="00766F7B"/>
    <w:rsid w:val="00781058"/>
    <w:rsid w:val="00784615"/>
    <w:rsid w:val="00785F9D"/>
    <w:rsid w:val="007A125D"/>
    <w:rsid w:val="007B455D"/>
    <w:rsid w:val="007B4EB5"/>
    <w:rsid w:val="007B5326"/>
    <w:rsid w:val="007B612B"/>
    <w:rsid w:val="007C43B6"/>
    <w:rsid w:val="007C7D94"/>
    <w:rsid w:val="007D0544"/>
    <w:rsid w:val="007D05D0"/>
    <w:rsid w:val="007D12B7"/>
    <w:rsid w:val="007D3C6E"/>
    <w:rsid w:val="007D3EA1"/>
    <w:rsid w:val="007E371B"/>
    <w:rsid w:val="007E4562"/>
    <w:rsid w:val="007E4BA4"/>
    <w:rsid w:val="007F5EDE"/>
    <w:rsid w:val="008035BE"/>
    <w:rsid w:val="0080510F"/>
    <w:rsid w:val="00805515"/>
    <w:rsid w:val="00807159"/>
    <w:rsid w:val="00810A97"/>
    <w:rsid w:val="00824801"/>
    <w:rsid w:val="008249C9"/>
    <w:rsid w:val="00826D04"/>
    <w:rsid w:val="00826D4A"/>
    <w:rsid w:val="00832EA1"/>
    <w:rsid w:val="00837906"/>
    <w:rsid w:val="00850252"/>
    <w:rsid w:val="00863C19"/>
    <w:rsid w:val="008860E4"/>
    <w:rsid w:val="00886FCC"/>
    <w:rsid w:val="0089584F"/>
    <w:rsid w:val="008B0470"/>
    <w:rsid w:val="008B313B"/>
    <w:rsid w:val="008B422B"/>
    <w:rsid w:val="008C2830"/>
    <w:rsid w:val="008C57F9"/>
    <w:rsid w:val="008C6D75"/>
    <w:rsid w:val="008C760A"/>
    <w:rsid w:val="008D08D4"/>
    <w:rsid w:val="008D0E24"/>
    <w:rsid w:val="008D0ED3"/>
    <w:rsid w:val="008D5552"/>
    <w:rsid w:val="008D5F4D"/>
    <w:rsid w:val="008E570D"/>
    <w:rsid w:val="008F779D"/>
    <w:rsid w:val="0090260E"/>
    <w:rsid w:val="00906D31"/>
    <w:rsid w:val="0090764B"/>
    <w:rsid w:val="00910E92"/>
    <w:rsid w:val="009178B5"/>
    <w:rsid w:val="00922F11"/>
    <w:rsid w:val="009236C1"/>
    <w:rsid w:val="00926BA4"/>
    <w:rsid w:val="009311D4"/>
    <w:rsid w:val="0093137C"/>
    <w:rsid w:val="00934DA8"/>
    <w:rsid w:val="00936C5C"/>
    <w:rsid w:val="009508B4"/>
    <w:rsid w:val="00950D2B"/>
    <w:rsid w:val="00950FD9"/>
    <w:rsid w:val="00952E8A"/>
    <w:rsid w:val="0095393F"/>
    <w:rsid w:val="00982C1A"/>
    <w:rsid w:val="00985FD6"/>
    <w:rsid w:val="0099052A"/>
    <w:rsid w:val="0099612B"/>
    <w:rsid w:val="009A244D"/>
    <w:rsid w:val="009B07E5"/>
    <w:rsid w:val="009B6373"/>
    <w:rsid w:val="009B6402"/>
    <w:rsid w:val="009B6697"/>
    <w:rsid w:val="009B6AD1"/>
    <w:rsid w:val="009C4E99"/>
    <w:rsid w:val="009C65B5"/>
    <w:rsid w:val="009D01E5"/>
    <w:rsid w:val="009D0E21"/>
    <w:rsid w:val="009E627A"/>
    <w:rsid w:val="009E6828"/>
    <w:rsid w:val="009F26ED"/>
    <w:rsid w:val="009F5BDC"/>
    <w:rsid w:val="00A0622C"/>
    <w:rsid w:val="00A1439F"/>
    <w:rsid w:val="00A17D2C"/>
    <w:rsid w:val="00A21965"/>
    <w:rsid w:val="00A23159"/>
    <w:rsid w:val="00A24D11"/>
    <w:rsid w:val="00A256A1"/>
    <w:rsid w:val="00A27B9A"/>
    <w:rsid w:val="00A3019D"/>
    <w:rsid w:val="00A32B89"/>
    <w:rsid w:val="00A33ACB"/>
    <w:rsid w:val="00A508E7"/>
    <w:rsid w:val="00A5174D"/>
    <w:rsid w:val="00A54452"/>
    <w:rsid w:val="00A607B8"/>
    <w:rsid w:val="00A60A80"/>
    <w:rsid w:val="00A632F2"/>
    <w:rsid w:val="00A73BDB"/>
    <w:rsid w:val="00A80444"/>
    <w:rsid w:val="00A82B01"/>
    <w:rsid w:val="00A84A7D"/>
    <w:rsid w:val="00A86E18"/>
    <w:rsid w:val="00A91E8D"/>
    <w:rsid w:val="00A9594F"/>
    <w:rsid w:val="00AA2F46"/>
    <w:rsid w:val="00AA453C"/>
    <w:rsid w:val="00AB3DD7"/>
    <w:rsid w:val="00AE042A"/>
    <w:rsid w:val="00AF66C6"/>
    <w:rsid w:val="00B14632"/>
    <w:rsid w:val="00B171E4"/>
    <w:rsid w:val="00B356D4"/>
    <w:rsid w:val="00B44C52"/>
    <w:rsid w:val="00B70BA7"/>
    <w:rsid w:val="00B74B00"/>
    <w:rsid w:val="00B7590A"/>
    <w:rsid w:val="00B9493B"/>
    <w:rsid w:val="00BB0633"/>
    <w:rsid w:val="00BB07E3"/>
    <w:rsid w:val="00BB3FFE"/>
    <w:rsid w:val="00BB5572"/>
    <w:rsid w:val="00BC64A0"/>
    <w:rsid w:val="00BD2124"/>
    <w:rsid w:val="00BD2DCD"/>
    <w:rsid w:val="00BD678C"/>
    <w:rsid w:val="00BE56CC"/>
    <w:rsid w:val="00BE7A16"/>
    <w:rsid w:val="00BF0920"/>
    <w:rsid w:val="00C04918"/>
    <w:rsid w:val="00C12E42"/>
    <w:rsid w:val="00C23519"/>
    <w:rsid w:val="00C24D89"/>
    <w:rsid w:val="00C4049A"/>
    <w:rsid w:val="00C47BC4"/>
    <w:rsid w:val="00C504CA"/>
    <w:rsid w:val="00C546ED"/>
    <w:rsid w:val="00C7255C"/>
    <w:rsid w:val="00C82691"/>
    <w:rsid w:val="00C9279E"/>
    <w:rsid w:val="00C950F6"/>
    <w:rsid w:val="00CA2763"/>
    <w:rsid w:val="00CB1BEB"/>
    <w:rsid w:val="00CB4D34"/>
    <w:rsid w:val="00CC244B"/>
    <w:rsid w:val="00CD7BA5"/>
    <w:rsid w:val="00CE0DEE"/>
    <w:rsid w:val="00CF022B"/>
    <w:rsid w:val="00CF514B"/>
    <w:rsid w:val="00D02854"/>
    <w:rsid w:val="00D109B2"/>
    <w:rsid w:val="00D140A0"/>
    <w:rsid w:val="00D15952"/>
    <w:rsid w:val="00D17963"/>
    <w:rsid w:val="00D22B53"/>
    <w:rsid w:val="00D27FE9"/>
    <w:rsid w:val="00D3014D"/>
    <w:rsid w:val="00D307EA"/>
    <w:rsid w:val="00D32DA1"/>
    <w:rsid w:val="00D404ED"/>
    <w:rsid w:val="00D52E3D"/>
    <w:rsid w:val="00D542E8"/>
    <w:rsid w:val="00D6362C"/>
    <w:rsid w:val="00D82288"/>
    <w:rsid w:val="00D92A22"/>
    <w:rsid w:val="00D95201"/>
    <w:rsid w:val="00DA061E"/>
    <w:rsid w:val="00DA635D"/>
    <w:rsid w:val="00DA63A2"/>
    <w:rsid w:val="00DB0EEA"/>
    <w:rsid w:val="00DB12D9"/>
    <w:rsid w:val="00DB7D87"/>
    <w:rsid w:val="00DC0ECC"/>
    <w:rsid w:val="00DC4696"/>
    <w:rsid w:val="00DC4A2B"/>
    <w:rsid w:val="00DE5A3D"/>
    <w:rsid w:val="00DF7F75"/>
    <w:rsid w:val="00E0327D"/>
    <w:rsid w:val="00E11F9B"/>
    <w:rsid w:val="00E14463"/>
    <w:rsid w:val="00E2188C"/>
    <w:rsid w:val="00E263DF"/>
    <w:rsid w:val="00E316B0"/>
    <w:rsid w:val="00E342D4"/>
    <w:rsid w:val="00E35FDD"/>
    <w:rsid w:val="00E379C2"/>
    <w:rsid w:val="00E4443C"/>
    <w:rsid w:val="00E45FFB"/>
    <w:rsid w:val="00E528BE"/>
    <w:rsid w:val="00E75DE3"/>
    <w:rsid w:val="00E76012"/>
    <w:rsid w:val="00E81110"/>
    <w:rsid w:val="00E85975"/>
    <w:rsid w:val="00E87EC4"/>
    <w:rsid w:val="00E91EA4"/>
    <w:rsid w:val="00E92562"/>
    <w:rsid w:val="00E95512"/>
    <w:rsid w:val="00EB3E9B"/>
    <w:rsid w:val="00EB7890"/>
    <w:rsid w:val="00EC1FEB"/>
    <w:rsid w:val="00EC414D"/>
    <w:rsid w:val="00ED0033"/>
    <w:rsid w:val="00ED09FB"/>
    <w:rsid w:val="00ED2D66"/>
    <w:rsid w:val="00EE3C3C"/>
    <w:rsid w:val="00EE4817"/>
    <w:rsid w:val="00EE50C3"/>
    <w:rsid w:val="00EE7D4D"/>
    <w:rsid w:val="00EF0A94"/>
    <w:rsid w:val="00EF1F0F"/>
    <w:rsid w:val="00EF3269"/>
    <w:rsid w:val="00F02F92"/>
    <w:rsid w:val="00F06838"/>
    <w:rsid w:val="00F15BDF"/>
    <w:rsid w:val="00F16BEF"/>
    <w:rsid w:val="00F17CC3"/>
    <w:rsid w:val="00F30F48"/>
    <w:rsid w:val="00F34664"/>
    <w:rsid w:val="00F40DB7"/>
    <w:rsid w:val="00F41459"/>
    <w:rsid w:val="00F41C73"/>
    <w:rsid w:val="00F511D5"/>
    <w:rsid w:val="00F5481A"/>
    <w:rsid w:val="00F56028"/>
    <w:rsid w:val="00F57BC5"/>
    <w:rsid w:val="00F72038"/>
    <w:rsid w:val="00F72686"/>
    <w:rsid w:val="00F74969"/>
    <w:rsid w:val="00F75B03"/>
    <w:rsid w:val="00F82C04"/>
    <w:rsid w:val="00F854CD"/>
    <w:rsid w:val="00FB34F4"/>
    <w:rsid w:val="00FC433D"/>
    <w:rsid w:val="00FC47A0"/>
    <w:rsid w:val="00FC7265"/>
    <w:rsid w:val="00FD05DD"/>
    <w:rsid w:val="00FE300D"/>
    <w:rsid w:val="00FF1A16"/>
    <w:rsid w:val="00FF1D1E"/>
    <w:rsid w:val="00FF3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1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tyles" Target="styles.xml"/><Relationship Id="rId7" Type="http://schemas.openxmlformats.org/officeDocument/2006/relationships/hyperlink" Target="http://www.kubanenerg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904009-4FED-4FD8-BF44-083518FC3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2942</TotalTime>
  <Pages>5</Pages>
  <Words>2122</Words>
  <Characters>12100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Maria</cp:lastModifiedBy>
  <cp:revision>410</cp:revision>
  <dcterms:created xsi:type="dcterms:W3CDTF">2013-09-10T08:51:00Z</dcterms:created>
  <dcterms:modified xsi:type="dcterms:W3CDTF">2014-09-24T13:16:00Z</dcterms:modified>
</cp:coreProperties>
</file>