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AB1AF5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AB1AF5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AB1AF5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DA1F5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AB1AF5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AB1AF5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AB1AF5">
              <w:rPr>
                <w:b/>
                <w:sz w:val="24"/>
                <w:szCs w:val="24"/>
                <w:lang w:val="en-US" w:eastAsia="en-US"/>
              </w:rPr>
              <w:t>21 October</w:t>
            </w:r>
            <w:r w:rsidR="006456D0">
              <w:rPr>
                <w:b/>
                <w:sz w:val="24"/>
                <w:szCs w:val="24"/>
                <w:lang w:val="en-US" w:eastAsia="en-US"/>
              </w:rPr>
              <w:t xml:space="preserve"> 2014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AB1AF5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AB1AF5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B1AF5">
              <w:rPr>
                <w:b/>
                <w:sz w:val="24"/>
                <w:szCs w:val="24"/>
                <w:lang w:val="en-US" w:eastAsia="en-US"/>
              </w:rPr>
              <w:t>14 November</w:t>
            </w:r>
            <w:r w:rsidR="004D52EE"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F0568" w:rsidRPr="00432F0B">
              <w:rPr>
                <w:b/>
                <w:sz w:val="24"/>
                <w:szCs w:val="24"/>
                <w:lang w:val="en-US" w:eastAsia="en-US"/>
              </w:rPr>
              <w:t>2014</w:t>
            </w:r>
          </w:p>
        </w:tc>
      </w:tr>
      <w:tr w:rsidR="00136434" w:rsidRPr="00AB1AF5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On approv</w:t>
            </w:r>
            <w:r>
              <w:rPr>
                <w:color w:val="000000"/>
                <w:sz w:val="24"/>
                <w:szCs w:val="24"/>
                <w:lang w:val="en-US"/>
              </w:rPr>
              <w:t>ing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the Comprehensive Program</w:t>
            </w:r>
            <w:r>
              <w:rPr>
                <w:color w:val="000000"/>
                <w:sz w:val="24"/>
                <w:szCs w:val="24"/>
                <w:lang w:val="en-US"/>
              </w:rPr>
              <w:t>me of Kubanenergo JSC on reduction of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risk of injury to the staff of </w:t>
            </w:r>
            <w:r>
              <w:rPr>
                <w:color w:val="000000"/>
                <w:sz w:val="24"/>
                <w:szCs w:val="24"/>
                <w:lang w:val="en-US"/>
              </w:rPr>
              <w:t>Kubanenergo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and to third parties </w:t>
            </w:r>
            <w:r>
              <w:rPr>
                <w:color w:val="000000"/>
                <w:sz w:val="24"/>
                <w:szCs w:val="24"/>
                <w:lang w:val="en-US"/>
              </w:rPr>
              <w:t>at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the power grid facilities of the Company for the period 2014-2017. </w:t>
            </w:r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On </w:t>
            </w:r>
            <w:r>
              <w:rPr>
                <w:color w:val="000000"/>
                <w:sz w:val="24"/>
                <w:szCs w:val="24"/>
                <w:lang w:val="en-US"/>
              </w:rPr>
              <w:t>introducing a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>mendments to the Rules of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placing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temporarily free funds of the Company. </w:t>
            </w:r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color w:val="000000"/>
                <w:sz w:val="24"/>
                <w:szCs w:val="24"/>
                <w:lang w:val="en-US"/>
              </w:rPr>
              <w:t>introducing a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>mendments to the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Regulations on material incentives and benefits for top managers of </w:t>
            </w:r>
            <w:r>
              <w:rPr>
                <w:color w:val="000000"/>
                <w:sz w:val="24"/>
                <w:szCs w:val="24"/>
                <w:lang w:val="en-US"/>
              </w:rPr>
              <w:t>Kubanenergo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bookmarkStart w:id="0" w:name="_GoBack"/>
            <w:bookmarkEnd w:id="0"/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 On e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arly termination of </w:t>
            </w:r>
            <w:r>
              <w:rPr>
                <w:color w:val="000000"/>
                <w:sz w:val="24"/>
                <w:szCs w:val="24"/>
                <w:lang w:val="en-US"/>
              </w:rPr>
              <w:t>term of office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and election of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new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members of the Committee for Strategy, Development, Investments and Reform </w:t>
            </w:r>
            <w:r>
              <w:rPr>
                <w:color w:val="000000"/>
                <w:sz w:val="24"/>
                <w:szCs w:val="24"/>
                <w:lang w:val="en-US"/>
              </w:rPr>
              <w:t>attached to the Board of Directors of Kubanenergo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On e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arly termination of </w:t>
            </w:r>
            <w:r>
              <w:rPr>
                <w:color w:val="000000"/>
                <w:sz w:val="24"/>
                <w:szCs w:val="24"/>
                <w:lang w:val="en-US"/>
              </w:rPr>
              <w:t>term of office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and election of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new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members of the Reliability Committee </w:t>
            </w:r>
            <w:r>
              <w:rPr>
                <w:color w:val="000000"/>
                <w:sz w:val="24"/>
                <w:szCs w:val="24"/>
                <w:lang w:val="en-US"/>
              </w:rPr>
              <w:t>attached to the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Board of Directors of Kubanenergo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. On approving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the report on the results of the implementation of the business plan (including the investment program) </w:t>
            </w:r>
            <w:r>
              <w:rPr>
                <w:color w:val="000000"/>
                <w:sz w:val="24"/>
                <w:szCs w:val="24"/>
                <w:lang w:val="en-US"/>
              </w:rPr>
              <w:t>of Kubanenergo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for </w:t>
            </w:r>
            <w:r>
              <w:rPr>
                <w:color w:val="000000"/>
                <w:sz w:val="24"/>
                <w:szCs w:val="24"/>
                <w:lang w:val="en-US"/>
              </w:rPr>
              <w:t>the 2</w:t>
            </w:r>
            <w:r w:rsidRPr="00FC0940">
              <w:rPr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and 6 months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2014. </w:t>
            </w:r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On approving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>the results of the implementation of the target values ​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​of key performance indicators of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>Kubanenergo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for the 2</w:t>
            </w:r>
            <w:r w:rsidRPr="00DA1F59">
              <w:rPr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quarter 2014. </w:t>
            </w:r>
          </w:p>
          <w:p w:rsidR="00FC0940" w:rsidRPr="00FC0940" w:rsidRDefault="00FC0940" w:rsidP="00FC0940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8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>. On d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>etermin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>ing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the cases (amounts) of transactions 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with property owned by 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>Kubanenergo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, subject to prior approval by the Board of Directors, as amended. </w:t>
            </w:r>
          </w:p>
          <w:p w:rsidR="00D70D69" w:rsidRPr="00AB1AF5" w:rsidRDefault="00FC0940" w:rsidP="00DA1F59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9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>. On approving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the agreement on the coordination and development of the regulatory and technical support to the electric grid between Rossetti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 JSC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and its subsidiaries and affiliates, as 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>interested party transaction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>.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36434" w:rsidRPr="00D70D69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>eputy director general in charge of corporate management (attorney dated 02.04.2014)</w:t>
            </w:r>
          </w:p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AB1AF5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AB1AF5">
              <w:rPr>
                <w:sz w:val="24"/>
                <w:szCs w:val="24"/>
                <w:lang w:val="en-US" w:eastAsia="en-US"/>
              </w:rPr>
              <w:t>22 October</w:t>
            </w:r>
            <w:r w:rsidR="006456D0">
              <w:rPr>
                <w:sz w:val="24"/>
                <w:szCs w:val="24"/>
                <w:lang w:val="en-US" w:eastAsia="en-US"/>
              </w:rPr>
              <w:t xml:space="preserve"> </w:t>
            </w:r>
            <w:r w:rsidR="007F0568" w:rsidRPr="00432F0B">
              <w:rPr>
                <w:sz w:val="24"/>
                <w:szCs w:val="24"/>
                <w:lang w:val="en-US" w:eastAsia="en-US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36434" w:rsidRPr="00432F0B" w:rsidRDefault="00136434" w:rsidP="00136434">
      <w:pPr>
        <w:spacing w:after="240"/>
        <w:jc w:val="center"/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88584B" w:rsidRPr="00432F0B" w:rsidRDefault="00DA1F59">
      <w:pPr>
        <w:rPr>
          <w:sz w:val="24"/>
          <w:szCs w:val="24"/>
        </w:rPr>
      </w:pPr>
    </w:p>
    <w:sectPr w:rsidR="0088584B" w:rsidRPr="004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136434"/>
    <w:rsid w:val="00222072"/>
    <w:rsid w:val="00241872"/>
    <w:rsid w:val="00316AA3"/>
    <w:rsid w:val="00327C07"/>
    <w:rsid w:val="004319C1"/>
    <w:rsid w:val="00432F0B"/>
    <w:rsid w:val="004D52EE"/>
    <w:rsid w:val="006456D0"/>
    <w:rsid w:val="007F0568"/>
    <w:rsid w:val="009A03CB"/>
    <w:rsid w:val="00AB1AF5"/>
    <w:rsid w:val="00C81914"/>
    <w:rsid w:val="00D70D69"/>
    <w:rsid w:val="00DA1F59"/>
    <w:rsid w:val="00E07DB8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14</cp:revision>
  <dcterms:created xsi:type="dcterms:W3CDTF">2014-04-07T20:49:00Z</dcterms:created>
  <dcterms:modified xsi:type="dcterms:W3CDTF">2014-10-22T19:43:00Z</dcterms:modified>
</cp:coreProperties>
</file>