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DD04FE" w:rsidRDefault="00092812" w:rsidP="0060069B">
      <w:pPr>
        <w:pStyle w:val="a3"/>
        <w:spacing w:before="60"/>
        <w:jc w:val="center"/>
        <w:rPr>
          <w:rFonts w:ascii="Times New Roman" w:hAnsi="Times New Roman" w:cs="Times New Roman"/>
          <w:b/>
          <w:bCs/>
          <w:sz w:val="24"/>
          <w:szCs w:val="24"/>
          <w:lang w:val="en-US"/>
        </w:rPr>
      </w:pPr>
      <w:r w:rsidRPr="00DD04FE">
        <w:rPr>
          <w:rFonts w:ascii="Times New Roman" w:hAnsi="Times New Roman" w:cs="Times New Roman"/>
          <w:b/>
          <w:bCs/>
          <w:sz w:val="24"/>
          <w:szCs w:val="24"/>
          <w:lang w:val="en-US"/>
        </w:rPr>
        <w:t>Corporate action statement</w:t>
      </w:r>
    </w:p>
    <w:p w:rsidR="00092812" w:rsidRPr="00DD04FE" w:rsidRDefault="00092812" w:rsidP="0060069B">
      <w:pPr>
        <w:pStyle w:val="a3"/>
        <w:spacing w:before="60"/>
        <w:jc w:val="center"/>
        <w:rPr>
          <w:rFonts w:ascii="Times New Roman" w:hAnsi="Times New Roman" w:cs="Times New Roman"/>
          <w:b/>
          <w:bCs/>
          <w:sz w:val="24"/>
          <w:szCs w:val="24"/>
          <w:lang w:val="en-US"/>
        </w:rPr>
      </w:pPr>
      <w:r w:rsidRPr="00DD04FE">
        <w:rPr>
          <w:rFonts w:ascii="Times New Roman" w:hAnsi="Times New Roman" w:cs="Times New Roman"/>
          <w:b/>
          <w:bCs/>
          <w:sz w:val="24"/>
          <w:szCs w:val="24"/>
          <w:lang w:val="en-US"/>
        </w:rPr>
        <w:t>“On decisions adopted by the Issuer’s Board of Directors”</w:t>
      </w:r>
    </w:p>
    <w:p w:rsidR="00092812" w:rsidRPr="00DD04FE" w:rsidRDefault="00092812" w:rsidP="0060069B">
      <w:pPr>
        <w:pStyle w:val="a3"/>
        <w:spacing w:before="60"/>
        <w:jc w:val="center"/>
        <w:rPr>
          <w:rFonts w:ascii="Times New Roman" w:hAnsi="Times New Roman" w:cs="Times New Roman"/>
          <w:bCs/>
          <w:sz w:val="24"/>
          <w:szCs w:val="24"/>
          <w:lang w:val="en-US"/>
        </w:rPr>
      </w:pPr>
      <w:r w:rsidRPr="00DD04FE">
        <w:rPr>
          <w:rFonts w:ascii="Times New Roman" w:hAnsi="Times New Roman" w:cs="Times New Roman"/>
          <w:b/>
          <w:bCs/>
          <w:sz w:val="24"/>
          <w:szCs w:val="24"/>
          <w:lang w:val="en-US"/>
        </w:rPr>
        <w:t>(</w:t>
      </w:r>
      <w:proofErr w:type="gramStart"/>
      <w:r w:rsidRPr="00DD04FE">
        <w:rPr>
          <w:rFonts w:ascii="Times New Roman" w:hAnsi="Times New Roman" w:cs="Times New Roman"/>
          <w:b/>
          <w:bCs/>
          <w:sz w:val="24"/>
          <w:szCs w:val="24"/>
          <w:lang w:val="en-US"/>
        </w:rPr>
        <w:t>disclosure</w:t>
      </w:r>
      <w:proofErr w:type="gramEnd"/>
      <w:r w:rsidRPr="00DD04FE">
        <w:rPr>
          <w:rFonts w:ascii="Times New Roman" w:hAnsi="Times New Roman" w:cs="Times New Roman"/>
          <w:b/>
          <w:bCs/>
          <w:sz w:val="24"/>
          <w:szCs w:val="24"/>
          <w:lang w:val="en-US"/>
        </w:rPr>
        <w:t xml:space="preserve"> of inside information)</w:t>
      </w:r>
    </w:p>
    <w:tbl>
      <w:tblPr>
        <w:tblStyle w:val="a5"/>
        <w:tblW w:w="9782" w:type="dxa"/>
        <w:tblInd w:w="-176" w:type="dxa"/>
        <w:tblLook w:val="04A0" w:firstRow="1" w:lastRow="0" w:firstColumn="1" w:lastColumn="0" w:noHBand="0" w:noVBand="1"/>
      </w:tblPr>
      <w:tblGrid>
        <w:gridCol w:w="3828"/>
        <w:gridCol w:w="5954"/>
      </w:tblGrid>
      <w:tr w:rsidR="00092812" w:rsidRPr="00DD04FE" w:rsidTr="008B313B">
        <w:tc>
          <w:tcPr>
            <w:tcW w:w="9782" w:type="dxa"/>
            <w:gridSpan w:val="2"/>
          </w:tcPr>
          <w:p w:rsidR="00092812" w:rsidRPr="00DD04FE" w:rsidRDefault="00092812" w:rsidP="0060069B">
            <w:pPr>
              <w:pStyle w:val="a3"/>
              <w:numPr>
                <w:ilvl w:val="0"/>
                <w:numId w:val="1"/>
              </w:numPr>
              <w:spacing w:before="60"/>
              <w:jc w:val="both"/>
              <w:rPr>
                <w:rFonts w:ascii="Times New Roman" w:hAnsi="Times New Roman" w:cs="Times New Roman"/>
                <w:sz w:val="24"/>
                <w:szCs w:val="24"/>
              </w:rPr>
            </w:pPr>
            <w:r w:rsidRPr="00DD04FE">
              <w:rPr>
                <w:rFonts w:ascii="Times New Roman" w:hAnsi="Times New Roman" w:cs="Times New Roman"/>
                <w:sz w:val="24"/>
                <w:szCs w:val="24"/>
                <w:lang w:val="en-US"/>
              </w:rPr>
              <w:t>General data</w:t>
            </w:r>
          </w:p>
        </w:tc>
      </w:tr>
      <w:tr w:rsidR="00092812" w:rsidRPr="00A60096" w:rsidTr="008B313B">
        <w:trPr>
          <w:trHeight w:val="599"/>
        </w:trPr>
        <w:tc>
          <w:tcPr>
            <w:tcW w:w="3828" w:type="dxa"/>
          </w:tcPr>
          <w:p w:rsidR="00092812" w:rsidRPr="00DD04FE" w:rsidRDefault="00092812" w:rsidP="0060069B">
            <w:pPr>
              <w:pStyle w:val="a3"/>
              <w:jc w:val="both"/>
              <w:rPr>
                <w:rFonts w:ascii="Times New Roman" w:hAnsi="Times New Roman" w:cs="Times New Roman"/>
                <w:sz w:val="24"/>
                <w:szCs w:val="24"/>
              </w:rPr>
            </w:pPr>
            <w:r w:rsidRPr="00DD04FE">
              <w:rPr>
                <w:rFonts w:ascii="Times New Roman" w:hAnsi="Times New Roman" w:cs="Times New Roman"/>
                <w:sz w:val="24"/>
                <w:szCs w:val="24"/>
              </w:rPr>
              <w:t xml:space="preserve">1.1  </w:t>
            </w:r>
            <w:r w:rsidRPr="00DD04FE">
              <w:rPr>
                <w:rFonts w:ascii="Times New Roman" w:hAnsi="Times New Roman" w:cs="Times New Roman"/>
                <w:sz w:val="24"/>
                <w:szCs w:val="24"/>
                <w:lang w:val="en-US"/>
              </w:rPr>
              <w:t>Issuer</w:t>
            </w:r>
            <w:r w:rsidRPr="00DD04FE">
              <w:rPr>
                <w:rFonts w:ascii="Times New Roman" w:hAnsi="Times New Roman" w:cs="Times New Roman"/>
                <w:sz w:val="24"/>
                <w:szCs w:val="24"/>
              </w:rPr>
              <w:t>’</w:t>
            </w:r>
            <w:r w:rsidRPr="00DD04FE">
              <w:rPr>
                <w:rFonts w:ascii="Times New Roman" w:hAnsi="Times New Roman" w:cs="Times New Roman"/>
                <w:sz w:val="24"/>
                <w:szCs w:val="24"/>
                <w:lang w:val="en-US"/>
              </w:rPr>
              <w:t>s full name</w:t>
            </w:r>
          </w:p>
        </w:tc>
        <w:tc>
          <w:tcPr>
            <w:tcW w:w="5954" w:type="dxa"/>
          </w:tcPr>
          <w:p w:rsidR="00092812" w:rsidRPr="00DD04FE" w:rsidRDefault="00092812"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Open joint-stock company of Power and Electrification of Kuban</w:t>
            </w:r>
          </w:p>
        </w:tc>
      </w:tr>
      <w:tr w:rsidR="00092812" w:rsidRPr="00DD04FE" w:rsidTr="008B313B">
        <w:tc>
          <w:tcPr>
            <w:tcW w:w="3828" w:type="dxa"/>
          </w:tcPr>
          <w:p w:rsidR="00092812" w:rsidRPr="00DD04FE" w:rsidRDefault="00092812" w:rsidP="0060069B">
            <w:pPr>
              <w:pStyle w:val="a3"/>
              <w:jc w:val="both"/>
              <w:rPr>
                <w:rFonts w:ascii="Times New Roman" w:hAnsi="Times New Roman" w:cs="Times New Roman"/>
                <w:sz w:val="24"/>
                <w:szCs w:val="24"/>
              </w:rPr>
            </w:pPr>
            <w:r w:rsidRPr="00DD04FE">
              <w:rPr>
                <w:rFonts w:ascii="Times New Roman" w:hAnsi="Times New Roman" w:cs="Times New Roman"/>
                <w:sz w:val="24"/>
                <w:szCs w:val="24"/>
              </w:rPr>
              <w:t xml:space="preserve">1.2. </w:t>
            </w:r>
            <w:r w:rsidRPr="00DD04FE">
              <w:rPr>
                <w:rFonts w:ascii="Times New Roman" w:hAnsi="Times New Roman" w:cs="Times New Roman"/>
                <w:sz w:val="24"/>
                <w:szCs w:val="24"/>
                <w:lang w:val="en-US"/>
              </w:rPr>
              <w:t>Issuer</w:t>
            </w:r>
            <w:r w:rsidRPr="00DD04FE">
              <w:rPr>
                <w:rFonts w:ascii="Times New Roman" w:hAnsi="Times New Roman" w:cs="Times New Roman"/>
                <w:sz w:val="24"/>
                <w:szCs w:val="24"/>
              </w:rPr>
              <w:t>’</w:t>
            </w:r>
            <w:r w:rsidRPr="00DD04FE">
              <w:rPr>
                <w:rFonts w:ascii="Times New Roman" w:hAnsi="Times New Roman" w:cs="Times New Roman"/>
                <w:sz w:val="24"/>
                <w:szCs w:val="24"/>
                <w:lang w:val="en-US"/>
              </w:rPr>
              <w:t>s short name</w:t>
            </w:r>
          </w:p>
        </w:tc>
        <w:tc>
          <w:tcPr>
            <w:tcW w:w="5954" w:type="dxa"/>
          </w:tcPr>
          <w:p w:rsidR="00092812" w:rsidRPr="00DD04FE" w:rsidRDefault="00092812" w:rsidP="0060069B">
            <w:pPr>
              <w:pStyle w:val="a3"/>
              <w:jc w:val="both"/>
              <w:rPr>
                <w:rFonts w:ascii="Times New Roman" w:hAnsi="Times New Roman" w:cs="Times New Roman"/>
                <w:sz w:val="24"/>
                <w:szCs w:val="24"/>
              </w:rPr>
            </w:pPr>
            <w:r w:rsidRPr="00DD04FE">
              <w:rPr>
                <w:rFonts w:ascii="Times New Roman" w:hAnsi="Times New Roman" w:cs="Times New Roman"/>
                <w:sz w:val="24"/>
                <w:szCs w:val="24"/>
                <w:lang w:val="en-US"/>
              </w:rPr>
              <w:t>“Kubanenergo”, JSC</w:t>
            </w:r>
          </w:p>
        </w:tc>
      </w:tr>
      <w:tr w:rsidR="00092812" w:rsidRPr="00A60096" w:rsidTr="008B313B">
        <w:tc>
          <w:tcPr>
            <w:tcW w:w="3828" w:type="dxa"/>
          </w:tcPr>
          <w:p w:rsidR="00092812" w:rsidRPr="00DD04FE" w:rsidRDefault="00092812"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rPr>
              <w:t xml:space="preserve">1.3. </w:t>
            </w:r>
            <w:r w:rsidRPr="00DD04FE">
              <w:rPr>
                <w:rFonts w:ascii="Times New Roman" w:hAnsi="Times New Roman" w:cs="Times New Roman"/>
                <w:sz w:val="24"/>
                <w:szCs w:val="24"/>
                <w:lang w:val="en-US"/>
              </w:rPr>
              <w:t>Issuer’s location</w:t>
            </w:r>
          </w:p>
        </w:tc>
        <w:tc>
          <w:tcPr>
            <w:tcW w:w="5954" w:type="dxa"/>
          </w:tcPr>
          <w:p w:rsidR="00092812" w:rsidRPr="00DD04FE" w:rsidRDefault="00092812" w:rsidP="0060069B">
            <w:pPr>
              <w:jc w:val="both"/>
              <w:rPr>
                <w:lang w:val="en-US" w:eastAsia="en-US"/>
              </w:rPr>
            </w:pPr>
            <w:r w:rsidRPr="00DD04FE">
              <w:rPr>
                <w:lang w:val="en-US" w:eastAsia="en-US"/>
              </w:rPr>
              <w:t>2, Stavropolskaya str., Krasnodar, Russian federation, 350033</w:t>
            </w:r>
          </w:p>
        </w:tc>
      </w:tr>
      <w:tr w:rsidR="00092812" w:rsidRPr="00DD04FE" w:rsidTr="008B313B">
        <w:tc>
          <w:tcPr>
            <w:tcW w:w="3828" w:type="dxa"/>
          </w:tcPr>
          <w:p w:rsidR="00092812" w:rsidRPr="00DD04FE" w:rsidRDefault="00092812"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rPr>
              <w:t xml:space="preserve">1.4. </w:t>
            </w:r>
            <w:r w:rsidRPr="00DD04FE">
              <w:rPr>
                <w:rFonts w:ascii="Times New Roman" w:hAnsi="Times New Roman" w:cs="Times New Roman"/>
                <w:sz w:val="24"/>
                <w:szCs w:val="24"/>
                <w:lang w:val="en-US"/>
              </w:rPr>
              <w:t>Issuer’s PSRN</w:t>
            </w:r>
          </w:p>
        </w:tc>
        <w:tc>
          <w:tcPr>
            <w:tcW w:w="5954" w:type="dxa"/>
          </w:tcPr>
          <w:p w:rsidR="00092812" w:rsidRPr="00DD04FE" w:rsidRDefault="00092812" w:rsidP="0060069B">
            <w:pPr>
              <w:pStyle w:val="a3"/>
              <w:jc w:val="both"/>
              <w:rPr>
                <w:rFonts w:ascii="Times New Roman" w:hAnsi="Times New Roman" w:cs="Times New Roman"/>
                <w:sz w:val="24"/>
                <w:szCs w:val="24"/>
              </w:rPr>
            </w:pPr>
            <w:r w:rsidRPr="00DD04FE">
              <w:rPr>
                <w:rFonts w:ascii="Times New Roman" w:hAnsi="Times New Roman" w:cs="Times New Roman"/>
                <w:sz w:val="24"/>
                <w:szCs w:val="24"/>
              </w:rPr>
              <w:t>1022301</w:t>
            </w:r>
            <w:bookmarkStart w:id="0" w:name="_GoBack"/>
            <w:bookmarkEnd w:id="0"/>
            <w:r w:rsidRPr="00DD04FE">
              <w:rPr>
                <w:rFonts w:ascii="Times New Roman" w:hAnsi="Times New Roman" w:cs="Times New Roman"/>
                <w:sz w:val="24"/>
                <w:szCs w:val="24"/>
              </w:rPr>
              <w:t>427268</w:t>
            </w:r>
          </w:p>
        </w:tc>
      </w:tr>
      <w:tr w:rsidR="00092812" w:rsidRPr="00DD04FE" w:rsidTr="008B313B">
        <w:trPr>
          <w:trHeight w:val="521"/>
        </w:trPr>
        <w:tc>
          <w:tcPr>
            <w:tcW w:w="3828" w:type="dxa"/>
          </w:tcPr>
          <w:p w:rsidR="00092812" w:rsidRPr="00DD04FE" w:rsidRDefault="00092812"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rPr>
              <w:t xml:space="preserve">1.5. </w:t>
            </w:r>
            <w:r w:rsidRPr="00DD04FE">
              <w:rPr>
                <w:rFonts w:ascii="Times New Roman" w:hAnsi="Times New Roman" w:cs="Times New Roman"/>
                <w:sz w:val="24"/>
                <w:szCs w:val="24"/>
                <w:lang w:val="en-US"/>
              </w:rPr>
              <w:t>Issuer’s TIN</w:t>
            </w:r>
          </w:p>
        </w:tc>
        <w:tc>
          <w:tcPr>
            <w:tcW w:w="5954" w:type="dxa"/>
          </w:tcPr>
          <w:p w:rsidR="00092812" w:rsidRPr="00DD04FE" w:rsidRDefault="00092812" w:rsidP="0060069B">
            <w:pPr>
              <w:pStyle w:val="a3"/>
              <w:jc w:val="both"/>
              <w:rPr>
                <w:rFonts w:ascii="Times New Roman" w:hAnsi="Times New Roman" w:cs="Times New Roman"/>
                <w:sz w:val="24"/>
                <w:szCs w:val="24"/>
              </w:rPr>
            </w:pPr>
            <w:r w:rsidRPr="00DD04FE">
              <w:rPr>
                <w:rFonts w:ascii="Times New Roman" w:hAnsi="Times New Roman" w:cs="Times New Roman"/>
                <w:sz w:val="24"/>
                <w:szCs w:val="24"/>
              </w:rPr>
              <w:t>2309001660</w:t>
            </w:r>
          </w:p>
        </w:tc>
      </w:tr>
      <w:tr w:rsidR="00092812" w:rsidRPr="00DD04FE" w:rsidTr="008B313B">
        <w:tc>
          <w:tcPr>
            <w:tcW w:w="3828" w:type="dxa"/>
          </w:tcPr>
          <w:p w:rsidR="00092812" w:rsidRPr="00DD04FE" w:rsidRDefault="00092812"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1.6. Issuer’s unique code given by registering authority</w:t>
            </w:r>
          </w:p>
        </w:tc>
        <w:tc>
          <w:tcPr>
            <w:tcW w:w="5954" w:type="dxa"/>
          </w:tcPr>
          <w:p w:rsidR="00092812" w:rsidRPr="00DD04FE" w:rsidRDefault="00092812"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rPr>
              <w:t>00063-</w:t>
            </w:r>
            <w:r w:rsidRPr="00DD04FE">
              <w:rPr>
                <w:rFonts w:ascii="Times New Roman" w:hAnsi="Times New Roman" w:cs="Times New Roman"/>
                <w:sz w:val="24"/>
                <w:szCs w:val="24"/>
                <w:lang w:val="en-US"/>
              </w:rPr>
              <w:t>A</w:t>
            </w:r>
          </w:p>
        </w:tc>
      </w:tr>
      <w:tr w:rsidR="00092812" w:rsidRPr="00A60096" w:rsidTr="008B313B">
        <w:tc>
          <w:tcPr>
            <w:tcW w:w="3828" w:type="dxa"/>
          </w:tcPr>
          <w:p w:rsidR="00092812" w:rsidRPr="00DD04FE" w:rsidRDefault="00092812"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rPr>
              <w:t xml:space="preserve">1.7. </w:t>
            </w:r>
            <w:r w:rsidRPr="00DD04FE">
              <w:rPr>
                <w:rFonts w:ascii="Times New Roman" w:hAnsi="Times New Roman" w:cs="Times New Roman"/>
                <w:sz w:val="24"/>
                <w:szCs w:val="24"/>
                <w:lang w:val="en-US"/>
              </w:rPr>
              <w:t>Web-page</w:t>
            </w:r>
          </w:p>
        </w:tc>
        <w:tc>
          <w:tcPr>
            <w:tcW w:w="5954" w:type="dxa"/>
          </w:tcPr>
          <w:p w:rsidR="00910E92" w:rsidRPr="00DD04FE" w:rsidRDefault="0060069B" w:rsidP="0060069B">
            <w:pPr>
              <w:pStyle w:val="a3"/>
              <w:jc w:val="both"/>
              <w:rPr>
                <w:rFonts w:ascii="Times New Roman" w:hAnsi="Times New Roman" w:cs="Times New Roman"/>
                <w:sz w:val="24"/>
                <w:szCs w:val="24"/>
                <w:lang w:val="en-US"/>
              </w:rPr>
            </w:pPr>
            <w:hyperlink r:id="rId7" w:history="1">
              <w:r w:rsidR="00910E92" w:rsidRPr="00DD04FE">
                <w:rPr>
                  <w:rFonts w:ascii="Times New Roman" w:hAnsi="Times New Roman" w:cs="Times New Roman"/>
                  <w:sz w:val="24"/>
                  <w:szCs w:val="24"/>
                  <w:lang w:val="en-US"/>
                </w:rPr>
                <w:t>www.kubanenergo.ru</w:t>
              </w:r>
            </w:hyperlink>
          </w:p>
          <w:p w:rsidR="00092812" w:rsidRPr="00DD04FE" w:rsidRDefault="0060069B" w:rsidP="0060069B">
            <w:pPr>
              <w:pStyle w:val="a3"/>
              <w:jc w:val="both"/>
              <w:rPr>
                <w:rFonts w:ascii="Times New Roman" w:hAnsi="Times New Roman" w:cs="Times New Roman"/>
                <w:sz w:val="24"/>
                <w:szCs w:val="24"/>
                <w:lang w:val="en-US"/>
              </w:rPr>
            </w:pPr>
            <w:hyperlink r:id="rId8" w:history="1">
              <w:r w:rsidR="00092812" w:rsidRPr="00DD04FE">
                <w:rPr>
                  <w:rStyle w:val="a6"/>
                  <w:rFonts w:ascii="Times New Roman" w:hAnsi="Times New Roman" w:cs="Times New Roman"/>
                  <w:sz w:val="24"/>
                  <w:szCs w:val="24"/>
                  <w:lang w:val="en-US"/>
                </w:rPr>
                <w:t>http://www.e-disclosure.ru/portal/company.aspx?id=2827</w:t>
              </w:r>
            </w:hyperlink>
          </w:p>
        </w:tc>
      </w:tr>
      <w:tr w:rsidR="00092812" w:rsidRPr="00DD04FE" w:rsidTr="008B313B">
        <w:tc>
          <w:tcPr>
            <w:tcW w:w="9782" w:type="dxa"/>
            <w:gridSpan w:val="2"/>
          </w:tcPr>
          <w:p w:rsidR="00092812" w:rsidRPr="00DD04FE" w:rsidRDefault="00092812" w:rsidP="0060069B">
            <w:pPr>
              <w:widowControl w:val="0"/>
              <w:shd w:val="clear" w:color="auto" w:fill="FFFFFF"/>
              <w:tabs>
                <w:tab w:val="left" w:pos="432"/>
              </w:tabs>
              <w:adjustRightInd w:val="0"/>
              <w:spacing w:before="60"/>
              <w:jc w:val="both"/>
              <w:rPr>
                <w:b/>
                <w:bCs/>
                <w:lang w:val="en-US" w:eastAsia="en-US"/>
              </w:rPr>
            </w:pPr>
            <w:r w:rsidRPr="00DD04FE">
              <w:rPr>
                <w:lang w:val="en-US" w:eastAsia="en-US"/>
              </w:rPr>
              <w:t>2. Statement content</w:t>
            </w:r>
          </w:p>
        </w:tc>
      </w:tr>
      <w:tr w:rsidR="00092812" w:rsidRPr="00A60096" w:rsidTr="008B313B">
        <w:trPr>
          <w:trHeight w:val="2775"/>
        </w:trPr>
        <w:tc>
          <w:tcPr>
            <w:tcW w:w="9782" w:type="dxa"/>
            <w:gridSpan w:val="2"/>
          </w:tcPr>
          <w:p w:rsidR="00092812" w:rsidRPr="00DD04FE" w:rsidRDefault="00092812" w:rsidP="0060069B">
            <w:pPr>
              <w:tabs>
                <w:tab w:val="left" w:pos="284"/>
              </w:tabs>
              <w:spacing w:before="60"/>
              <w:jc w:val="both"/>
              <w:rPr>
                <w:b/>
                <w:lang w:val="en-US"/>
              </w:rPr>
            </w:pPr>
            <w:r w:rsidRPr="00DD04FE">
              <w:rPr>
                <w:b/>
                <w:lang w:val="en-US"/>
              </w:rPr>
              <w:t>2.1 Quorum of meeting of issuer’s BoD and results of voting on the adopted decisions:</w:t>
            </w:r>
          </w:p>
          <w:p w:rsidR="00092812" w:rsidRPr="00DD04FE" w:rsidRDefault="00092812" w:rsidP="0060069B">
            <w:pPr>
              <w:widowControl w:val="0"/>
              <w:spacing w:before="60"/>
              <w:jc w:val="both"/>
              <w:rPr>
                <w:lang w:val="en-US"/>
              </w:rPr>
            </w:pPr>
            <w:r w:rsidRPr="00DD04FE">
              <w:rPr>
                <w:lang w:val="en-US"/>
              </w:rPr>
              <w:t>Number of BoD members: 11 persons</w:t>
            </w:r>
          </w:p>
          <w:p w:rsidR="00092812" w:rsidRPr="00DD04FE" w:rsidRDefault="00092812" w:rsidP="0060069B">
            <w:pPr>
              <w:tabs>
                <w:tab w:val="left" w:pos="284"/>
              </w:tabs>
              <w:spacing w:before="60"/>
              <w:jc w:val="both"/>
              <w:rPr>
                <w:lang w:val="en-US"/>
              </w:rPr>
            </w:pPr>
            <w:r w:rsidRPr="00DD04FE">
              <w:rPr>
                <w:lang w:val="en-US"/>
              </w:rPr>
              <w:t xml:space="preserve">Member participated in the meeting: </w:t>
            </w:r>
            <w:r w:rsidR="00032D68">
              <w:rPr>
                <w:lang w:val="en-US"/>
              </w:rPr>
              <w:t>11</w:t>
            </w:r>
            <w:r w:rsidRPr="00DD04FE">
              <w:rPr>
                <w:lang w:val="en-US"/>
              </w:rPr>
              <w:t xml:space="preserve"> persons </w:t>
            </w:r>
          </w:p>
          <w:p w:rsidR="00092812" w:rsidRPr="00DD04FE" w:rsidRDefault="00092812" w:rsidP="0060069B">
            <w:pPr>
              <w:tabs>
                <w:tab w:val="left" w:pos="284"/>
              </w:tabs>
              <w:spacing w:before="60"/>
              <w:jc w:val="both"/>
              <w:rPr>
                <w:lang w:val="en-US"/>
              </w:rPr>
            </w:pPr>
            <w:r w:rsidRPr="00DD04FE">
              <w:rPr>
                <w:lang w:val="en-US"/>
              </w:rPr>
              <w:t>Quorum necessary for holding the meeting of Kubanenergo JSC Board of Directors is present.</w:t>
            </w:r>
          </w:p>
          <w:p w:rsidR="00092812" w:rsidRPr="00DD04FE" w:rsidRDefault="00092812"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 xml:space="preserve">Voting results: </w:t>
            </w:r>
          </w:p>
          <w:tbl>
            <w:tblPr>
              <w:tblStyle w:val="a5"/>
              <w:tblW w:w="0" w:type="auto"/>
              <w:jc w:val="center"/>
              <w:tblLook w:val="04A0" w:firstRow="1" w:lastRow="0" w:firstColumn="1" w:lastColumn="0" w:noHBand="0" w:noVBand="1"/>
            </w:tblPr>
            <w:tblGrid>
              <w:gridCol w:w="1129"/>
              <w:gridCol w:w="1843"/>
              <w:gridCol w:w="1985"/>
              <w:gridCol w:w="2161"/>
            </w:tblGrid>
            <w:tr w:rsidR="00A607B8" w:rsidRPr="00A60096" w:rsidTr="00690F9B">
              <w:trPr>
                <w:jc w:val="center"/>
              </w:trPr>
              <w:tc>
                <w:tcPr>
                  <w:tcW w:w="1129" w:type="dxa"/>
                  <w:vMerge w:val="restart"/>
                </w:tcPr>
                <w:p w:rsidR="00A607B8" w:rsidRPr="00DD04FE" w:rsidRDefault="00A607B8"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No.</w:t>
                  </w:r>
                </w:p>
              </w:tc>
              <w:tc>
                <w:tcPr>
                  <w:tcW w:w="5989" w:type="dxa"/>
                  <w:gridSpan w:val="3"/>
                </w:tcPr>
                <w:p w:rsidR="00A607B8" w:rsidRPr="00DD04FE" w:rsidRDefault="00A607B8"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Votes</w:t>
                  </w:r>
                </w:p>
              </w:tc>
            </w:tr>
            <w:tr w:rsidR="00A607B8" w:rsidRPr="00A60096" w:rsidTr="00690F9B">
              <w:trPr>
                <w:jc w:val="center"/>
              </w:trPr>
              <w:tc>
                <w:tcPr>
                  <w:tcW w:w="1129" w:type="dxa"/>
                  <w:vMerge/>
                </w:tcPr>
                <w:p w:rsidR="00A607B8" w:rsidRPr="002F4055" w:rsidRDefault="00A607B8" w:rsidP="0060069B">
                  <w:pPr>
                    <w:pStyle w:val="a3"/>
                    <w:jc w:val="both"/>
                    <w:rPr>
                      <w:rFonts w:ascii="Times New Roman" w:hAnsi="Times New Roman" w:cs="Times New Roman"/>
                      <w:sz w:val="24"/>
                      <w:szCs w:val="24"/>
                      <w:lang w:val="en-US"/>
                    </w:rPr>
                  </w:pPr>
                </w:p>
              </w:tc>
              <w:tc>
                <w:tcPr>
                  <w:tcW w:w="1843" w:type="dxa"/>
                </w:tcPr>
                <w:p w:rsidR="00A607B8" w:rsidRPr="002F4055" w:rsidRDefault="00A607B8"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FOR</w:t>
                  </w:r>
                </w:p>
              </w:tc>
              <w:tc>
                <w:tcPr>
                  <w:tcW w:w="1985" w:type="dxa"/>
                </w:tcPr>
                <w:p w:rsidR="00A607B8" w:rsidRPr="002F4055" w:rsidRDefault="00A607B8"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AGAINST</w:t>
                  </w:r>
                </w:p>
              </w:tc>
              <w:tc>
                <w:tcPr>
                  <w:tcW w:w="2161" w:type="dxa"/>
                </w:tcPr>
                <w:p w:rsidR="00A607B8" w:rsidRPr="002F4055" w:rsidRDefault="00A607B8" w:rsidP="0060069B">
                  <w:pPr>
                    <w:pStyle w:val="a3"/>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ABSTAINED</w:t>
                  </w:r>
                </w:p>
              </w:tc>
            </w:tr>
            <w:tr w:rsidR="00C850E5" w:rsidRPr="00A60096" w:rsidTr="00C905DA">
              <w:trPr>
                <w:jc w:val="center"/>
              </w:trPr>
              <w:tc>
                <w:tcPr>
                  <w:tcW w:w="1129" w:type="dxa"/>
                  <w:vAlign w:val="center"/>
                </w:tcPr>
                <w:p w:rsidR="00C850E5" w:rsidRPr="002F4055" w:rsidRDefault="00C850E5" w:rsidP="0060069B">
                  <w:pPr>
                    <w:pStyle w:val="a3"/>
                    <w:jc w:val="both"/>
                    <w:rPr>
                      <w:rFonts w:ascii="Times New Roman" w:hAnsi="Times New Roman" w:cs="Times New Roman"/>
                      <w:b/>
                      <w:sz w:val="24"/>
                      <w:szCs w:val="24"/>
                      <w:lang w:val="en-US"/>
                    </w:rPr>
                  </w:pPr>
                  <w:r w:rsidRPr="002F4055">
                    <w:rPr>
                      <w:rFonts w:ascii="Times New Roman" w:hAnsi="Times New Roman" w:cs="Times New Roman"/>
                      <w:b/>
                      <w:sz w:val="24"/>
                      <w:szCs w:val="24"/>
                      <w:lang w:val="en-US"/>
                    </w:rPr>
                    <w:t>1</w:t>
                  </w:r>
                </w:p>
              </w:tc>
              <w:tc>
                <w:tcPr>
                  <w:tcW w:w="1843" w:type="dxa"/>
                </w:tcPr>
                <w:p w:rsidR="00C850E5"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C850E5" w:rsidRPr="002F4055" w:rsidRDefault="00C850E5" w:rsidP="0060069B">
                  <w:pPr>
                    <w:pStyle w:val="a3"/>
                    <w:jc w:val="both"/>
                    <w:rPr>
                      <w:rFonts w:ascii="Times New Roman" w:hAnsi="Times New Roman" w:cs="Times New Roman"/>
                      <w:b/>
                      <w:lang w:val="en-US"/>
                    </w:rPr>
                  </w:pPr>
                </w:p>
              </w:tc>
              <w:tc>
                <w:tcPr>
                  <w:tcW w:w="2161" w:type="dxa"/>
                </w:tcPr>
                <w:p w:rsidR="00C850E5" w:rsidRPr="002F4055" w:rsidRDefault="00C850E5" w:rsidP="0060069B">
                  <w:pPr>
                    <w:pStyle w:val="a3"/>
                    <w:jc w:val="both"/>
                    <w:rPr>
                      <w:rFonts w:ascii="Times New Roman" w:hAnsi="Times New Roman" w:cs="Times New Roman"/>
                      <w:b/>
                      <w:lang w:val="en-US"/>
                    </w:rPr>
                  </w:pPr>
                </w:p>
              </w:tc>
            </w:tr>
            <w:tr w:rsidR="00C850E5" w:rsidRPr="00A60096" w:rsidTr="0002073C">
              <w:trPr>
                <w:jc w:val="center"/>
              </w:trPr>
              <w:tc>
                <w:tcPr>
                  <w:tcW w:w="1129" w:type="dxa"/>
                  <w:vAlign w:val="center"/>
                </w:tcPr>
                <w:p w:rsidR="00C850E5" w:rsidRPr="002F4055" w:rsidRDefault="00C850E5" w:rsidP="0060069B">
                  <w:pPr>
                    <w:pStyle w:val="a3"/>
                    <w:jc w:val="both"/>
                    <w:rPr>
                      <w:rFonts w:ascii="Times New Roman" w:hAnsi="Times New Roman" w:cs="Times New Roman"/>
                      <w:b/>
                      <w:sz w:val="24"/>
                      <w:szCs w:val="24"/>
                      <w:lang w:val="en-US"/>
                    </w:rPr>
                  </w:pPr>
                  <w:r w:rsidRPr="002F4055">
                    <w:rPr>
                      <w:rFonts w:ascii="Times New Roman" w:hAnsi="Times New Roman" w:cs="Times New Roman"/>
                      <w:b/>
                      <w:sz w:val="24"/>
                      <w:szCs w:val="24"/>
                      <w:lang w:val="en-US"/>
                    </w:rPr>
                    <w:t>2</w:t>
                  </w:r>
                </w:p>
              </w:tc>
              <w:tc>
                <w:tcPr>
                  <w:tcW w:w="1843" w:type="dxa"/>
                </w:tcPr>
                <w:p w:rsidR="00C850E5"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C850E5" w:rsidRPr="002F4055" w:rsidRDefault="00C850E5" w:rsidP="0060069B">
                  <w:pPr>
                    <w:pStyle w:val="a3"/>
                    <w:jc w:val="both"/>
                    <w:rPr>
                      <w:rFonts w:ascii="Times New Roman" w:hAnsi="Times New Roman" w:cs="Times New Roman"/>
                      <w:b/>
                      <w:lang w:val="en-US"/>
                    </w:rPr>
                  </w:pPr>
                </w:p>
              </w:tc>
              <w:tc>
                <w:tcPr>
                  <w:tcW w:w="2161" w:type="dxa"/>
                </w:tcPr>
                <w:p w:rsidR="00C850E5" w:rsidRPr="002F4055" w:rsidRDefault="00C850E5" w:rsidP="0060069B">
                  <w:pPr>
                    <w:pStyle w:val="a3"/>
                    <w:jc w:val="both"/>
                    <w:rPr>
                      <w:rFonts w:ascii="Times New Roman" w:hAnsi="Times New Roman" w:cs="Times New Roman"/>
                      <w:b/>
                      <w:lang w:val="en-US"/>
                    </w:rPr>
                  </w:pPr>
                </w:p>
              </w:tc>
            </w:tr>
            <w:tr w:rsidR="00032D68" w:rsidRPr="00A60096" w:rsidTr="0002073C">
              <w:trPr>
                <w:jc w:val="center"/>
              </w:trPr>
              <w:tc>
                <w:tcPr>
                  <w:tcW w:w="1129" w:type="dxa"/>
                  <w:vAlign w:val="center"/>
                </w:tcPr>
                <w:p w:rsidR="00032D68" w:rsidRPr="00032D68" w:rsidRDefault="00032D68" w:rsidP="0060069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843" w:type="dxa"/>
                </w:tcPr>
                <w:p w:rsidR="00032D68"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032D68" w:rsidRPr="002F4055" w:rsidRDefault="00032D68" w:rsidP="0060069B">
                  <w:pPr>
                    <w:pStyle w:val="a3"/>
                    <w:jc w:val="both"/>
                    <w:rPr>
                      <w:rFonts w:ascii="Times New Roman" w:hAnsi="Times New Roman" w:cs="Times New Roman"/>
                      <w:b/>
                      <w:lang w:val="en-US"/>
                    </w:rPr>
                  </w:pPr>
                </w:p>
              </w:tc>
              <w:tc>
                <w:tcPr>
                  <w:tcW w:w="2161" w:type="dxa"/>
                </w:tcPr>
                <w:p w:rsidR="00032D68" w:rsidRPr="002F4055" w:rsidRDefault="00032D68" w:rsidP="0060069B">
                  <w:pPr>
                    <w:pStyle w:val="a3"/>
                    <w:jc w:val="both"/>
                    <w:rPr>
                      <w:rFonts w:ascii="Times New Roman" w:hAnsi="Times New Roman" w:cs="Times New Roman"/>
                      <w:b/>
                      <w:lang w:val="en-US"/>
                    </w:rPr>
                  </w:pPr>
                </w:p>
              </w:tc>
            </w:tr>
            <w:tr w:rsidR="00032D68" w:rsidRPr="00A60096" w:rsidTr="0002073C">
              <w:trPr>
                <w:jc w:val="center"/>
              </w:trPr>
              <w:tc>
                <w:tcPr>
                  <w:tcW w:w="1129" w:type="dxa"/>
                  <w:vAlign w:val="center"/>
                </w:tcPr>
                <w:p w:rsidR="00032D68" w:rsidRPr="002F4055" w:rsidRDefault="00032D68" w:rsidP="0060069B">
                  <w:pPr>
                    <w:pStyle w:val="a3"/>
                    <w:jc w:val="both"/>
                    <w:rPr>
                      <w:rFonts w:ascii="Times New Roman" w:hAnsi="Times New Roman" w:cs="Times New Roman"/>
                      <w:b/>
                      <w:sz w:val="24"/>
                      <w:szCs w:val="24"/>
                      <w:lang w:val="en-US"/>
                    </w:rPr>
                  </w:pPr>
                  <w:r w:rsidRPr="002F4055">
                    <w:rPr>
                      <w:rFonts w:ascii="Times New Roman" w:hAnsi="Times New Roman" w:cs="Times New Roman"/>
                      <w:b/>
                      <w:sz w:val="24"/>
                      <w:szCs w:val="24"/>
                      <w:lang w:val="en-US"/>
                    </w:rPr>
                    <w:t>4</w:t>
                  </w:r>
                </w:p>
              </w:tc>
              <w:tc>
                <w:tcPr>
                  <w:tcW w:w="1843" w:type="dxa"/>
                </w:tcPr>
                <w:p w:rsidR="00032D68"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032D68" w:rsidRPr="002F4055" w:rsidRDefault="00032D68" w:rsidP="0060069B">
                  <w:pPr>
                    <w:pStyle w:val="a3"/>
                    <w:jc w:val="both"/>
                    <w:rPr>
                      <w:rFonts w:ascii="Times New Roman" w:hAnsi="Times New Roman" w:cs="Times New Roman"/>
                      <w:b/>
                      <w:lang w:val="en-US"/>
                    </w:rPr>
                  </w:pPr>
                </w:p>
              </w:tc>
              <w:tc>
                <w:tcPr>
                  <w:tcW w:w="2161" w:type="dxa"/>
                </w:tcPr>
                <w:p w:rsidR="00032D68" w:rsidRPr="002F4055" w:rsidRDefault="00032D68" w:rsidP="0060069B">
                  <w:pPr>
                    <w:pStyle w:val="a3"/>
                    <w:jc w:val="both"/>
                    <w:rPr>
                      <w:rFonts w:ascii="Times New Roman" w:hAnsi="Times New Roman" w:cs="Times New Roman"/>
                      <w:b/>
                      <w:lang w:val="en-US"/>
                    </w:rPr>
                  </w:pPr>
                </w:p>
              </w:tc>
            </w:tr>
            <w:tr w:rsidR="00032D68" w:rsidRPr="00A60096" w:rsidTr="0002073C">
              <w:trPr>
                <w:jc w:val="center"/>
              </w:trPr>
              <w:tc>
                <w:tcPr>
                  <w:tcW w:w="1129" w:type="dxa"/>
                  <w:vAlign w:val="center"/>
                </w:tcPr>
                <w:p w:rsidR="00032D68" w:rsidRPr="002F4055" w:rsidRDefault="00032D68" w:rsidP="0060069B">
                  <w:pPr>
                    <w:pStyle w:val="a3"/>
                    <w:jc w:val="both"/>
                    <w:rPr>
                      <w:rFonts w:ascii="Times New Roman" w:hAnsi="Times New Roman" w:cs="Times New Roman"/>
                      <w:b/>
                      <w:sz w:val="24"/>
                      <w:szCs w:val="24"/>
                      <w:lang w:val="en-US"/>
                    </w:rPr>
                  </w:pPr>
                  <w:r w:rsidRPr="002F4055">
                    <w:rPr>
                      <w:rFonts w:ascii="Times New Roman" w:hAnsi="Times New Roman" w:cs="Times New Roman"/>
                      <w:b/>
                      <w:sz w:val="24"/>
                      <w:szCs w:val="24"/>
                      <w:lang w:val="en-US"/>
                    </w:rPr>
                    <w:t>5</w:t>
                  </w:r>
                </w:p>
              </w:tc>
              <w:tc>
                <w:tcPr>
                  <w:tcW w:w="1843" w:type="dxa"/>
                </w:tcPr>
                <w:p w:rsidR="00032D68"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032D68" w:rsidRPr="002F4055" w:rsidRDefault="00032D68" w:rsidP="0060069B">
                  <w:pPr>
                    <w:pStyle w:val="a3"/>
                    <w:jc w:val="both"/>
                    <w:rPr>
                      <w:rFonts w:ascii="Times New Roman" w:hAnsi="Times New Roman" w:cs="Times New Roman"/>
                      <w:b/>
                      <w:lang w:val="en-US"/>
                    </w:rPr>
                  </w:pPr>
                </w:p>
              </w:tc>
              <w:tc>
                <w:tcPr>
                  <w:tcW w:w="2161" w:type="dxa"/>
                </w:tcPr>
                <w:p w:rsidR="00032D68" w:rsidRPr="002F4055" w:rsidRDefault="00032D68" w:rsidP="0060069B">
                  <w:pPr>
                    <w:pStyle w:val="a3"/>
                    <w:jc w:val="both"/>
                    <w:rPr>
                      <w:rFonts w:ascii="Times New Roman" w:hAnsi="Times New Roman" w:cs="Times New Roman"/>
                      <w:b/>
                      <w:lang w:val="en-US"/>
                    </w:rPr>
                  </w:pPr>
                </w:p>
              </w:tc>
            </w:tr>
            <w:tr w:rsidR="00032D68" w:rsidRPr="00A60096" w:rsidTr="00C905DA">
              <w:trPr>
                <w:jc w:val="center"/>
              </w:trPr>
              <w:tc>
                <w:tcPr>
                  <w:tcW w:w="1129" w:type="dxa"/>
                  <w:vAlign w:val="center"/>
                </w:tcPr>
                <w:p w:rsidR="00032D68" w:rsidRPr="002F4055" w:rsidRDefault="00032D68" w:rsidP="0060069B">
                  <w:pPr>
                    <w:pStyle w:val="a3"/>
                    <w:jc w:val="both"/>
                    <w:rPr>
                      <w:rFonts w:ascii="Times New Roman" w:hAnsi="Times New Roman" w:cs="Times New Roman"/>
                      <w:b/>
                      <w:sz w:val="24"/>
                      <w:szCs w:val="24"/>
                      <w:lang w:val="en-US"/>
                    </w:rPr>
                  </w:pPr>
                  <w:r w:rsidRPr="002F4055">
                    <w:rPr>
                      <w:rFonts w:ascii="Times New Roman" w:hAnsi="Times New Roman" w:cs="Times New Roman"/>
                      <w:b/>
                      <w:sz w:val="24"/>
                      <w:szCs w:val="24"/>
                      <w:lang w:val="en-US"/>
                    </w:rPr>
                    <w:t>6</w:t>
                  </w:r>
                </w:p>
              </w:tc>
              <w:tc>
                <w:tcPr>
                  <w:tcW w:w="1843" w:type="dxa"/>
                </w:tcPr>
                <w:p w:rsidR="00032D68"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032D68" w:rsidRPr="002F4055" w:rsidRDefault="00032D68" w:rsidP="0060069B">
                  <w:pPr>
                    <w:pStyle w:val="a3"/>
                    <w:jc w:val="both"/>
                    <w:rPr>
                      <w:rFonts w:ascii="Times New Roman" w:hAnsi="Times New Roman" w:cs="Times New Roman"/>
                      <w:b/>
                      <w:lang w:val="en-US"/>
                    </w:rPr>
                  </w:pPr>
                </w:p>
              </w:tc>
              <w:tc>
                <w:tcPr>
                  <w:tcW w:w="2161" w:type="dxa"/>
                </w:tcPr>
                <w:p w:rsidR="00032D68" w:rsidRPr="002F4055" w:rsidRDefault="00032D68" w:rsidP="0060069B">
                  <w:pPr>
                    <w:pStyle w:val="a3"/>
                    <w:jc w:val="both"/>
                    <w:rPr>
                      <w:rFonts w:ascii="Times New Roman" w:hAnsi="Times New Roman" w:cs="Times New Roman"/>
                      <w:b/>
                      <w:lang w:val="en-US"/>
                    </w:rPr>
                  </w:pPr>
                </w:p>
              </w:tc>
            </w:tr>
            <w:tr w:rsidR="00032D68" w:rsidRPr="00A60096" w:rsidTr="00C905DA">
              <w:trPr>
                <w:jc w:val="center"/>
              </w:trPr>
              <w:tc>
                <w:tcPr>
                  <w:tcW w:w="1129" w:type="dxa"/>
                  <w:vAlign w:val="center"/>
                </w:tcPr>
                <w:p w:rsidR="00032D68" w:rsidRPr="002F4055" w:rsidRDefault="00032D68" w:rsidP="0060069B">
                  <w:pPr>
                    <w:pStyle w:val="a3"/>
                    <w:jc w:val="both"/>
                    <w:rPr>
                      <w:rFonts w:ascii="Times New Roman" w:hAnsi="Times New Roman" w:cs="Times New Roman"/>
                      <w:b/>
                      <w:sz w:val="24"/>
                      <w:szCs w:val="24"/>
                      <w:lang w:val="en-US"/>
                    </w:rPr>
                  </w:pPr>
                  <w:r w:rsidRPr="002F4055">
                    <w:rPr>
                      <w:rFonts w:ascii="Times New Roman" w:hAnsi="Times New Roman" w:cs="Times New Roman"/>
                      <w:b/>
                      <w:sz w:val="24"/>
                      <w:szCs w:val="24"/>
                      <w:lang w:val="en-US"/>
                    </w:rPr>
                    <w:t>7</w:t>
                  </w:r>
                </w:p>
              </w:tc>
              <w:tc>
                <w:tcPr>
                  <w:tcW w:w="1843" w:type="dxa"/>
                </w:tcPr>
                <w:p w:rsidR="00032D68"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032D68" w:rsidRPr="002F4055" w:rsidRDefault="00032D68" w:rsidP="0060069B">
                  <w:pPr>
                    <w:pStyle w:val="a3"/>
                    <w:jc w:val="both"/>
                    <w:rPr>
                      <w:rFonts w:ascii="Times New Roman" w:hAnsi="Times New Roman" w:cs="Times New Roman"/>
                      <w:b/>
                      <w:lang w:val="en-US"/>
                    </w:rPr>
                  </w:pPr>
                </w:p>
              </w:tc>
              <w:tc>
                <w:tcPr>
                  <w:tcW w:w="2161" w:type="dxa"/>
                </w:tcPr>
                <w:p w:rsidR="00032D68" w:rsidRPr="002F4055" w:rsidRDefault="00032D68" w:rsidP="0060069B">
                  <w:pPr>
                    <w:pStyle w:val="a3"/>
                    <w:jc w:val="both"/>
                    <w:rPr>
                      <w:rFonts w:ascii="Times New Roman" w:hAnsi="Times New Roman" w:cs="Times New Roman"/>
                      <w:b/>
                      <w:lang w:val="en-US"/>
                    </w:rPr>
                  </w:pPr>
                </w:p>
              </w:tc>
            </w:tr>
            <w:tr w:rsidR="00032D68" w:rsidRPr="00A60096" w:rsidTr="00C905DA">
              <w:trPr>
                <w:jc w:val="center"/>
              </w:trPr>
              <w:tc>
                <w:tcPr>
                  <w:tcW w:w="1129" w:type="dxa"/>
                  <w:vAlign w:val="center"/>
                </w:tcPr>
                <w:p w:rsidR="00032D68" w:rsidRPr="00032D68" w:rsidRDefault="00032D68" w:rsidP="0060069B">
                  <w:pPr>
                    <w:pStyle w:val="a3"/>
                    <w:jc w:val="both"/>
                    <w:rPr>
                      <w:rFonts w:ascii="Times New Roman" w:hAnsi="Times New Roman" w:cs="Times New Roman"/>
                      <w:b/>
                      <w:sz w:val="24"/>
                      <w:szCs w:val="24"/>
                      <w:lang w:val="en-US"/>
                    </w:rPr>
                  </w:pPr>
                  <w:r w:rsidRPr="00032D68">
                    <w:rPr>
                      <w:rFonts w:ascii="Times New Roman" w:hAnsi="Times New Roman" w:cs="Times New Roman"/>
                      <w:b/>
                      <w:sz w:val="24"/>
                      <w:szCs w:val="24"/>
                      <w:lang w:val="en-US"/>
                    </w:rPr>
                    <w:t>8</w:t>
                  </w:r>
                </w:p>
              </w:tc>
              <w:tc>
                <w:tcPr>
                  <w:tcW w:w="1843" w:type="dxa"/>
                </w:tcPr>
                <w:p w:rsidR="00032D68"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032D68" w:rsidRPr="00032D68" w:rsidRDefault="00032D68" w:rsidP="0060069B">
                  <w:pPr>
                    <w:pStyle w:val="a3"/>
                    <w:jc w:val="both"/>
                    <w:rPr>
                      <w:rFonts w:ascii="Times New Roman" w:hAnsi="Times New Roman" w:cs="Times New Roman"/>
                      <w:b/>
                      <w:lang w:val="en-US"/>
                    </w:rPr>
                  </w:pPr>
                </w:p>
              </w:tc>
              <w:tc>
                <w:tcPr>
                  <w:tcW w:w="2161" w:type="dxa"/>
                </w:tcPr>
                <w:p w:rsidR="00032D68" w:rsidRPr="00032D68" w:rsidRDefault="00032D68" w:rsidP="0060069B">
                  <w:pPr>
                    <w:pStyle w:val="a3"/>
                    <w:jc w:val="both"/>
                    <w:rPr>
                      <w:rFonts w:ascii="Times New Roman" w:hAnsi="Times New Roman" w:cs="Times New Roman"/>
                      <w:b/>
                      <w:lang w:val="en-US"/>
                    </w:rPr>
                  </w:pPr>
                </w:p>
              </w:tc>
            </w:tr>
            <w:tr w:rsidR="00C850E5" w:rsidRPr="00A60096" w:rsidTr="00C905DA">
              <w:trPr>
                <w:jc w:val="center"/>
              </w:trPr>
              <w:tc>
                <w:tcPr>
                  <w:tcW w:w="1129" w:type="dxa"/>
                  <w:vAlign w:val="center"/>
                </w:tcPr>
                <w:p w:rsidR="00C850E5" w:rsidRPr="00032D68" w:rsidRDefault="00C850E5" w:rsidP="0060069B">
                  <w:pPr>
                    <w:pStyle w:val="a3"/>
                    <w:jc w:val="both"/>
                    <w:rPr>
                      <w:rFonts w:ascii="Times New Roman" w:hAnsi="Times New Roman" w:cs="Times New Roman"/>
                      <w:b/>
                      <w:sz w:val="24"/>
                      <w:szCs w:val="24"/>
                      <w:lang w:val="en-US"/>
                    </w:rPr>
                  </w:pPr>
                  <w:r w:rsidRPr="00032D68">
                    <w:rPr>
                      <w:rFonts w:ascii="Times New Roman" w:hAnsi="Times New Roman" w:cs="Times New Roman"/>
                      <w:b/>
                      <w:sz w:val="24"/>
                      <w:szCs w:val="24"/>
                      <w:lang w:val="en-US"/>
                    </w:rPr>
                    <w:t>9</w:t>
                  </w:r>
                </w:p>
              </w:tc>
              <w:tc>
                <w:tcPr>
                  <w:tcW w:w="1843" w:type="dxa"/>
                </w:tcPr>
                <w:p w:rsidR="00C850E5"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5</w:t>
                  </w:r>
                </w:p>
              </w:tc>
              <w:tc>
                <w:tcPr>
                  <w:tcW w:w="1985" w:type="dxa"/>
                </w:tcPr>
                <w:p w:rsidR="00C850E5" w:rsidRPr="00032D68" w:rsidRDefault="00C850E5" w:rsidP="0060069B">
                  <w:pPr>
                    <w:pStyle w:val="a3"/>
                    <w:jc w:val="both"/>
                    <w:rPr>
                      <w:rFonts w:ascii="Times New Roman" w:hAnsi="Times New Roman" w:cs="Times New Roman"/>
                      <w:b/>
                      <w:lang w:val="en-US"/>
                    </w:rPr>
                  </w:pPr>
                </w:p>
              </w:tc>
              <w:tc>
                <w:tcPr>
                  <w:tcW w:w="2161" w:type="dxa"/>
                </w:tcPr>
                <w:p w:rsidR="00C850E5" w:rsidRPr="00032D68" w:rsidRDefault="00C850E5" w:rsidP="0060069B">
                  <w:pPr>
                    <w:pStyle w:val="a3"/>
                    <w:jc w:val="both"/>
                    <w:rPr>
                      <w:rFonts w:ascii="Times New Roman" w:hAnsi="Times New Roman" w:cs="Times New Roman"/>
                      <w:b/>
                      <w:lang w:val="en-US"/>
                    </w:rPr>
                  </w:pPr>
                </w:p>
              </w:tc>
            </w:tr>
            <w:tr w:rsidR="00032D68" w:rsidRPr="00A60096" w:rsidTr="00C905DA">
              <w:trPr>
                <w:jc w:val="center"/>
              </w:trPr>
              <w:tc>
                <w:tcPr>
                  <w:tcW w:w="1129" w:type="dxa"/>
                  <w:vAlign w:val="center"/>
                </w:tcPr>
                <w:p w:rsidR="00032D68" w:rsidRPr="00032D68" w:rsidRDefault="00032D68" w:rsidP="0060069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843" w:type="dxa"/>
                </w:tcPr>
                <w:p w:rsidR="00032D68"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9</w:t>
                  </w:r>
                </w:p>
              </w:tc>
              <w:tc>
                <w:tcPr>
                  <w:tcW w:w="1985" w:type="dxa"/>
                </w:tcPr>
                <w:p w:rsidR="00032D68" w:rsidRPr="00032D68" w:rsidRDefault="00032D68" w:rsidP="0060069B">
                  <w:pPr>
                    <w:pStyle w:val="a3"/>
                    <w:jc w:val="both"/>
                    <w:rPr>
                      <w:rFonts w:ascii="Times New Roman" w:hAnsi="Times New Roman" w:cs="Times New Roman"/>
                      <w:b/>
                      <w:lang w:val="en-US"/>
                    </w:rPr>
                  </w:pPr>
                </w:p>
              </w:tc>
              <w:tc>
                <w:tcPr>
                  <w:tcW w:w="2161" w:type="dxa"/>
                </w:tcPr>
                <w:p w:rsidR="00032D68" w:rsidRPr="00032D68" w:rsidRDefault="00032D68" w:rsidP="0060069B">
                  <w:pPr>
                    <w:pStyle w:val="a3"/>
                    <w:jc w:val="both"/>
                    <w:rPr>
                      <w:rFonts w:ascii="Times New Roman" w:hAnsi="Times New Roman" w:cs="Times New Roman"/>
                      <w:b/>
                      <w:lang w:val="en-US"/>
                    </w:rPr>
                  </w:pPr>
                </w:p>
              </w:tc>
            </w:tr>
            <w:tr w:rsidR="00032D68" w:rsidRPr="00A60096" w:rsidTr="00C905DA">
              <w:trPr>
                <w:jc w:val="center"/>
              </w:trPr>
              <w:tc>
                <w:tcPr>
                  <w:tcW w:w="1129" w:type="dxa"/>
                  <w:vAlign w:val="center"/>
                </w:tcPr>
                <w:p w:rsidR="00032D68" w:rsidRPr="00032D68" w:rsidRDefault="00032D68" w:rsidP="0060069B">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Pr>
                <w:p w:rsidR="00032D68" w:rsidRPr="00032D68" w:rsidRDefault="00032D68" w:rsidP="0060069B">
                  <w:pPr>
                    <w:pStyle w:val="a3"/>
                    <w:jc w:val="both"/>
                    <w:rPr>
                      <w:rFonts w:ascii="Times New Roman" w:hAnsi="Times New Roman" w:cs="Times New Roman"/>
                      <w:b/>
                      <w:lang w:val="en-US"/>
                    </w:rPr>
                  </w:pPr>
                  <w:r>
                    <w:rPr>
                      <w:rFonts w:ascii="Times New Roman" w:hAnsi="Times New Roman" w:cs="Times New Roman"/>
                      <w:b/>
                      <w:lang w:val="en-US"/>
                    </w:rPr>
                    <w:t>11</w:t>
                  </w:r>
                </w:p>
              </w:tc>
              <w:tc>
                <w:tcPr>
                  <w:tcW w:w="1985" w:type="dxa"/>
                </w:tcPr>
                <w:p w:rsidR="00032D68" w:rsidRPr="00032D68" w:rsidRDefault="00032D68" w:rsidP="0060069B">
                  <w:pPr>
                    <w:pStyle w:val="a3"/>
                    <w:jc w:val="both"/>
                    <w:rPr>
                      <w:rFonts w:ascii="Times New Roman" w:hAnsi="Times New Roman" w:cs="Times New Roman"/>
                      <w:b/>
                      <w:lang w:val="en-US"/>
                    </w:rPr>
                  </w:pPr>
                </w:p>
              </w:tc>
              <w:tc>
                <w:tcPr>
                  <w:tcW w:w="2161" w:type="dxa"/>
                </w:tcPr>
                <w:p w:rsidR="00032D68" w:rsidRPr="00032D68" w:rsidRDefault="00032D68" w:rsidP="0060069B">
                  <w:pPr>
                    <w:pStyle w:val="a3"/>
                    <w:jc w:val="both"/>
                    <w:rPr>
                      <w:rFonts w:ascii="Times New Roman" w:hAnsi="Times New Roman" w:cs="Times New Roman"/>
                      <w:b/>
                      <w:lang w:val="en-US"/>
                    </w:rPr>
                  </w:pPr>
                </w:p>
              </w:tc>
            </w:tr>
          </w:tbl>
          <w:p w:rsidR="00092812" w:rsidRPr="00DD04FE" w:rsidRDefault="00032D68" w:rsidP="0060069B">
            <w:pPr>
              <w:tabs>
                <w:tab w:val="left" w:pos="3355"/>
              </w:tabs>
              <w:jc w:val="both"/>
              <w:rPr>
                <w:lang w:val="en-US" w:eastAsia="en-US"/>
              </w:rPr>
            </w:pPr>
            <w:r>
              <w:rPr>
                <w:lang w:val="en-US"/>
              </w:rPr>
              <w:t>6</w:t>
            </w:r>
            <w:r w:rsidRPr="00DD04FE">
              <w:rPr>
                <w:lang w:val="en-US"/>
              </w:rPr>
              <w:t xml:space="preserve"> members of the BoD did not vote on the item 9</w:t>
            </w:r>
            <w:r>
              <w:rPr>
                <w:lang w:val="en-US"/>
              </w:rPr>
              <w:t>, and 2 members of the BoD did not vote on</w:t>
            </w:r>
            <w:r w:rsidR="001E11FB">
              <w:rPr>
                <w:lang w:val="en-US"/>
              </w:rPr>
              <w:t xml:space="preserve"> the</w:t>
            </w:r>
            <w:r>
              <w:rPr>
                <w:lang w:val="en-US"/>
              </w:rPr>
              <w:t xml:space="preserve"> item 10.</w:t>
            </w:r>
          </w:p>
        </w:tc>
      </w:tr>
      <w:tr w:rsidR="00092812" w:rsidRPr="00A60096" w:rsidTr="008B313B">
        <w:tc>
          <w:tcPr>
            <w:tcW w:w="9782" w:type="dxa"/>
            <w:gridSpan w:val="2"/>
          </w:tcPr>
          <w:p w:rsidR="00092812" w:rsidRPr="00DD04FE" w:rsidRDefault="00092812" w:rsidP="0060069B">
            <w:pPr>
              <w:tabs>
                <w:tab w:val="left" w:pos="426"/>
                <w:tab w:val="left" w:pos="993"/>
              </w:tabs>
              <w:jc w:val="both"/>
              <w:rPr>
                <w:b/>
                <w:lang w:val="en-US"/>
              </w:rPr>
            </w:pPr>
            <w:r w:rsidRPr="00DD04FE">
              <w:rPr>
                <w:b/>
                <w:lang w:val="en-US"/>
              </w:rPr>
              <w:t>Di</w:t>
            </w:r>
            <w:r w:rsidR="00C7255C" w:rsidRPr="00DD04FE">
              <w:rPr>
                <w:b/>
                <w:lang w:val="en-US"/>
              </w:rPr>
              <w:t>sclosure of insider information</w:t>
            </w:r>
            <w:r w:rsidR="00910E92" w:rsidRPr="00DD04FE">
              <w:rPr>
                <w:b/>
                <w:lang w:val="en-US"/>
              </w:rPr>
              <w:t xml:space="preserve"> o</w:t>
            </w:r>
            <w:r w:rsidRPr="00DD04FE">
              <w:rPr>
                <w:b/>
                <w:lang w:val="en-US"/>
              </w:rPr>
              <w:t>n item No.</w:t>
            </w:r>
            <w:r w:rsidR="00F15BDF" w:rsidRPr="00DD04FE">
              <w:rPr>
                <w:b/>
                <w:lang w:val="en-US"/>
              </w:rPr>
              <w:t xml:space="preserve"> </w:t>
            </w:r>
            <w:r w:rsidRPr="00DD04FE">
              <w:rPr>
                <w:b/>
                <w:lang w:val="en-US"/>
              </w:rPr>
              <w:t>1 “</w:t>
            </w:r>
            <w:r w:rsidR="00B31BB0" w:rsidRPr="00B31BB0">
              <w:rPr>
                <w:b/>
                <w:lang w:val="en-US" w:eastAsia="en-US"/>
              </w:rPr>
              <w:t>On approving the Comprehensive Programme of Kubanenergo JSC on reduction of risk of injury to the staff of Kubanenergo JSC and to third parties at the power grid facilities of the Company for the period 2014-2017</w:t>
            </w:r>
            <w:r w:rsidRPr="00DD04FE">
              <w:rPr>
                <w:b/>
                <w:lang w:val="en-US"/>
              </w:rPr>
              <w:t>”</w:t>
            </w:r>
            <w:r w:rsidR="006B1E4A" w:rsidRPr="00DD04FE">
              <w:rPr>
                <w:b/>
                <w:lang w:val="en-US"/>
              </w:rPr>
              <w:t>.</w:t>
            </w:r>
          </w:p>
        </w:tc>
      </w:tr>
      <w:tr w:rsidR="00092812" w:rsidRPr="00A60096" w:rsidTr="008B313B">
        <w:tc>
          <w:tcPr>
            <w:tcW w:w="9782" w:type="dxa"/>
            <w:gridSpan w:val="2"/>
          </w:tcPr>
          <w:p w:rsidR="00092812" w:rsidRPr="00DD04FE" w:rsidRDefault="00092812"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 xml:space="preserve">2.2.1. </w:t>
            </w:r>
            <w:r w:rsidR="00CE0DEE" w:rsidRPr="00DD04FE">
              <w:rPr>
                <w:rFonts w:ascii="Times New Roman" w:hAnsi="Times New Roman" w:cs="Times New Roman"/>
                <w:sz w:val="24"/>
                <w:szCs w:val="24"/>
                <w:lang w:val="en-US"/>
              </w:rPr>
              <w:t xml:space="preserve"> D</w:t>
            </w:r>
            <w:r w:rsidRPr="00DD04FE">
              <w:rPr>
                <w:rFonts w:ascii="Times New Roman" w:hAnsi="Times New Roman" w:cs="Times New Roman"/>
                <w:sz w:val="24"/>
                <w:szCs w:val="24"/>
                <w:lang w:val="en-US"/>
              </w:rPr>
              <w:t>ecision adopted by issuer’s Board of Directors:</w:t>
            </w:r>
          </w:p>
          <w:p w:rsidR="00112BA1" w:rsidRPr="00DD04FE" w:rsidRDefault="00B31BB0" w:rsidP="0060069B">
            <w:pPr>
              <w:tabs>
                <w:tab w:val="left" w:pos="204"/>
              </w:tabs>
              <w:spacing w:before="60"/>
              <w:jc w:val="both"/>
              <w:rPr>
                <w:lang w:val="en-US"/>
              </w:rPr>
            </w:pPr>
            <w:r>
              <w:rPr>
                <w:lang w:val="en-US" w:eastAsia="en-US"/>
              </w:rPr>
              <w:t>To defer the discussion to a later date</w:t>
            </w:r>
            <w:r w:rsidR="00C31A59" w:rsidRPr="00DD04FE">
              <w:rPr>
                <w:lang w:val="en-US" w:eastAsia="en-US"/>
              </w:rPr>
              <w:t>.</w:t>
            </w:r>
          </w:p>
        </w:tc>
      </w:tr>
      <w:tr w:rsidR="00492CAD" w:rsidRPr="00A60096" w:rsidTr="008B313B">
        <w:tc>
          <w:tcPr>
            <w:tcW w:w="9782" w:type="dxa"/>
            <w:gridSpan w:val="2"/>
          </w:tcPr>
          <w:p w:rsidR="00492CAD" w:rsidRPr="00DD04FE" w:rsidRDefault="00492CAD"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b/>
                <w:sz w:val="24"/>
                <w:szCs w:val="24"/>
                <w:lang w:val="en-US"/>
              </w:rPr>
              <w:t>Disclosure of insider information on item No.</w:t>
            </w:r>
            <w:r w:rsidR="00F15BDF" w:rsidRPr="00DD04FE">
              <w:rPr>
                <w:rFonts w:ascii="Times New Roman" w:hAnsi="Times New Roman" w:cs="Times New Roman"/>
                <w:b/>
                <w:sz w:val="24"/>
                <w:szCs w:val="24"/>
                <w:lang w:val="en-US"/>
              </w:rPr>
              <w:t xml:space="preserve"> </w:t>
            </w:r>
            <w:r w:rsidRPr="00DD04FE">
              <w:rPr>
                <w:rFonts w:ascii="Times New Roman" w:hAnsi="Times New Roman" w:cs="Times New Roman"/>
                <w:b/>
                <w:sz w:val="24"/>
                <w:szCs w:val="24"/>
                <w:lang w:val="en-US"/>
              </w:rPr>
              <w:t>2 “</w:t>
            </w:r>
            <w:r w:rsidR="00B31BB0" w:rsidRPr="00B31BB0">
              <w:rPr>
                <w:rFonts w:ascii="Times New Roman" w:hAnsi="Times New Roman" w:cs="Times New Roman"/>
                <w:b/>
                <w:sz w:val="24"/>
                <w:szCs w:val="24"/>
                <w:lang w:val="en-US"/>
              </w:rPr>
              <w:t>On introducing amendments to the Rules of placing temporarily free funds of the Company</w:t>
            </w:r>
            <w:r w:rsidRPr="00DD04FE">
              <w:rPr>
                <w:rFonts w:ascii="Times New Roman" w:hAnsi="Times New Roman" w:cs="Times New Roman"/>
                <w:b/>
                <w:sz w:val="24"/>
                <w:szCs w:val="24"/>
                <w:lang w:val="en-US"/>
              </w:rPr>
              <w:t>”</w:t>
            </w:r>
            <w:r w:rsidR="006B1E4A" w:rsidRPr="00DD04FE">
              <w:rPr>
                <w:rFonts w:ascii="Times New Roman" w:hAnsi="Times New Roman" w:cs="Times New Roman"/>
                <w:b/>
                <w:sz w:val="24"/>
                <w:szCs w:val="24"/>
                <w:lang w:val="en-US"/>
              </w:rPr>
              <w:t>.</w:t>
            </w:r>
          </w:p>
        </w:tc>
      </w:tr>
      <w:tr w:rsidR="00492CAD" w:rsidRPr="00A60096" w:rsidTr="008B313B">
        <w:tc>
          <w:tcPr>
            <w:tcW w:w="9782" w:type="dxa"/>
            <w:gridSpan w:val="2"/>
          </w:tcPr>
          <w:p w:rsidR="00492CAD" w:rsidRPr="00DD04FE" w:rsidRDefault="00492CAD"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2.2.2.  Decision adopted by issuer’s Board of Directors:</w:t>
            </w:r>
          </w:p>
          <w:p w:rsidR="00AB3DD7" w:rsidRDefault="00B31BB0" w:rsidP="0060069B">
            <w:pPr>
              <w:tabs>
                <w:tab w:val="left" w:pos="204"/>
              </w:tabs>
              <w:spacing w:before="60"/>
              <w:jc w:val="both"/>
              <w:rPr>
                <w:lang w:val="en-US" w:eastAsia="en-US"/>
              </w:rPr>
            </w:pPr>
            <w:r>
              <w:rPr>
                <w:lang w:val="en-US" w:eastAsia="en-US"/>
              </w:rPr>
              <w:t xml:space="preserve">1. </w:t>
            </w:r>
            <w:r w:rsidR="00885D73">
              <w:rPr>
                <w:lang w:val="en-US" w:eastAsia="en-US"/>
              </w:rPr>
              <w:t>To introduce amendments to the Rules of placing temporary free funds of “Kubanenergo” JSC</w:t>
            </w:r>
            <w:r w:rsidR="002654D7">
              <w:rPr>
                <w:lang w:val="en-US" w:eastAsia="en-US"/>
              </w:rPr>
              <w:t xml:space="preserve"> disclosing appendix 1 to the redrafted Rules in accordance with Appendix 1 to present decision of Company’s BoD.</w:t>
            </w:r>
          </w:p>
          <w:p w:rsidR="002654D7" w:rsidRPr="00437460" w:rsidRDefault="002654D7" w:rsidP="0060069B">
            <w:pPr>
              <w:tabs>
                <w:tab w:val="left" w:pos="204"/>
              </w:tabs>
              <w:spacing w:before="60"/>
              <w:jc w:val="both"/>
              <w:rPr>
                <w:lang w:val="en-US" w:eastAsia="en-US"/>
              </w:rPr>
            </w:pPr>
            <w:r>
              <w:rPr>
                <w:lang w:val="en-US" w:eastAsia="en-US"/>
              </w:rPr>
              <w:t xml:space="preserve">2. </w:t>
            </w:r>
            <w:r w:rsidR="00386117">
              <w:rPr>
                <w:lang w:val="en-US" w:eastAsia="en-US"/>
              </w:rPr>
              <w:t>To allow “Kubanenergo” JSC to place temporary free funds of “Kubanenergo” JSC</w:t>
            </w:r>
            <w:r w:rsidR="003404D8">
              <w:rPr>
                <w:lang w:val="en-US" w:eastAsia="en-US"/>
              </w:rPr>
              <w:t xml:space="preserve"> (including </w:t>
            </w:r>
            <w:r w:rsidR="003404D8">
              <w:rPr>
                <w:lang w:val="en-US" w:eastAsia="en-US"/>
              </w:rPr>
              <w:lastRenderedPageBreak/>
              <w:t xml:space="preserve">placing rest of </w:t>
            </w:r>
            <w:r w:rsidR="003404D8" w:rsidRPr="00437460">
              <w:rPr>
                <w:lang w:val="en-US" w:eastAsia="en-US"/>
              </w:rPr>
              <w:t xml:space="preserve">funds and placing temporary free funds on bank deposits) in </w:t>
            </w:r>
            <w:r w:rsidR="00061B14" w:rsidRPr="00437460">
              <w:rPr>
                <w:lang w:val="en-US" w:eastAsia="en-US"/>
              </w:rPr>
              <w:t>Commercial Bank “</w:t>
            </w:r>
            <w:proofErr w:type="spellStart"/>
            <w:r w:rsidR="00061B14" w:rsidRPr="00437460">
              <w:rPr>
                <w:lang w:val="en-US" w:eastAsia="en-US"/>
              </w:rPr>
              <w:t>Rosenergobank</w:t>
            </w:r>
            <w:proofErr w:type="spellEnd"/>
            <w:r w:rsidR="00061B14" w:rsidRPr="00437460">
              <w:rPr>
                <w:lang w:val="en-US" w:eastAsia="en-US"/>
              </w:rPr>
              <w:t>” (JSC)</w:t>
            </w:r>
            <w:r w:rsidR="00F03CB1" w:rsidRPr="00437460">
              <w:rPr>
                <w:lang w:val="en-US" w:eastAsia="en-US"/>
              </w:rPr>
              <w:t xml:space="preserve"> until 31.12.2014 without increasing number of </w:t>
            </w:r>
            <w:r w:rsidR="002F4055" w:rsidRPr="00437460">
              <w:rPr>
                <w:lang w:val="en-US" w:eastAsia="en-US"/>
              </w:rPr>
              <w:t>transactions</w:t>
            </w:r>
            <w:r w:rsidR="00F03CB1" w:rsidRPr="00437460">
              <w:rPr>
                <w:lang w:val="en-US" w:eastAsia="en-US"/>
              </w:rPr>
              <w:t>.</w:t>
            </w:r>
          </w:p>
          <w:p w:rsidR="00130F87" w:rsidRPr="00130F87" w:rsidRDefault="00130F87" w:rsidP="0060069B">
            <w:pPr>
              <w:tabs>
                <w:tab w:val="left" w:pos="204"/>
              </w:tabs>
              <w:spacing w:before="60"/>
              <w:jc w:val="both"/>
              <w:rPr>
                <w:lang w:val="en-US" w:eastAsia="en-US"/>
              </w:rPr>
            </w:pPr>
            <w:r w:rsidRPr="00437460">
              <w:rPr>
                <w:lang w:val="en-US" w:eastAsia="en-US"/>
              </w:rPr>
              <w:t xml:space="preserve">3. </w:t>
            </w:r>
            <w:r w:rsidR="00437460" w:rsidRPr="00437460">
              <w:rPr>
                <w:lang w:val="en-US" w:eastAsia="en-US"/>
              </w:rPr>
              <w:t xml:space="preserve">To leave without changes </w:t>
            </w:r>
            <w:r w:rsidR="00437460" w:rsidRPr="00437460">
              <w:rPr>
                <w:lang w:val="en-US"/>
              </w:rPr>
              <w:t xml:space="preserve">the use of storage and expenditure of funds (including the placement of cash balances, as well as temporarily available cash on deposit) received by the Company from the federal budget, and the funds </w:t>
            </w:r>
            <w:r w:rsidR="00437460" w:rsidRPr="009F13DC">
              <w:rPr>
                <w:lang w:val="en-US"/>
              </w:rPr>
              <w:t xml:space="preserve">received as payment for additional shares of "Rossetti" JSC to finance the Company's investment projects separate from other assets of the Company bank account opened solely in one of the backbone of the Russian banks listed in Annex </w:t>
            </w:r>
            <w:r w:rsidR="00437460">
              <w:rPr>
                <w:lang w:val="en-US"/>
              </w:rPr>
              <w:t>2</w:t>
            </w:r>
            <w:r w:rsidR="00437460" w:rsidRPr="009F13DC">
              <w:rPr>
                <w:lang w:val="en-US"/>
              </w:rPr>
              <w:t xml:space="preserve"> to the decision of the Board</w:t>
            </w:r>
            <w:r w:rsidR="00993BD4" w:rsidRPr="00993BD4">
              <w:rPr>
                <w:color w:val="FF0000"/>
                <w:lang w:val="en-US" w:eastAsia="en-US"/>
              </w:rPr>
              <w:t>.</w:t>
            </w:r>
          </w:p>
        </w:tc>
      </w:tr>
      <w:tr w:rsidR="00492CAD" w:rsidRPr="00A60096" w:rsidTr="008B313B">
        <w:tc>
          <w:tcPr>
            <w:tcW w:w="9782" w:type="dxa"/>
            <w:gridSpan w:val="2"/>
          </w:tcPr>
          <w:p w:rsidR="00492CAD" w:rsidRPr="00DD04FE" w:rsidRDefault="00492CAD"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b/>
                <w:sz w:val="24"/>
                <w:szCs w:val="24"/>
                <w:lang w:val="en-US"/>
              </w:rPr>
              <w:lastRenderedPageBreak/>
              <w:t>Disclosure of insider information on item No.</w:t>
            </w:r>
            <w:r w:rsidR="00F15BDF" w:rsidRPr="00DD04FE">
              <w:rPr>
                <w:rFonts w:ascii="Times New Roman" w:hAnsi="Times New Roman" w:cs="Times New Roman"/>
                <w:b/>
                <w:sz w:val="24"/>
                <w:szCs w:val="24"/>
                <w:lang w:val="en-US"/>
              </w:rPr>
              <w:t xml:space="preserve"> </w:t>
            </w:r>
            <w:r w:rsidRPr="00DD04FE">
              <w:rPr>
                <w:rFonts w:ascii="Times New Roman" w:hAnsi="Times New Roman" w:cs="Times New Roman"/>
                <w:b/>
                <w:sz w:val="24"/>
                <w:szCs w:val="24"/>
                <w:lang w:val="en-US"/>
              </w:rPr>
              <w:t>3 “</w:t>
            </w:r>
            <w:r w:rsidR="00993BD4" w:rsidRPr="00993BD4">
              <w:rPr>
                <w:rFonts w:ascii="Times New Roman" w:hAnsi="Times New Roman" w:cs="Times New Roman"/>
                <w:b/>
                <w:sz w:val="24"/>
                <w:szCs w:val="24"/>
                <w:lang w:val="en-US"/>
              </w:rPr>
              <w:t>On introducing amendments to the Regulations on material incentives and benefits for top managers of Kubanenergo JSC</w:t>
            </w:r>
            <w:r w:rsidRPr="00DD04FE">
              <w:rPr>
                <w:rFonts w:ascii="Times New Roman" w:hAnsi="Times New Roman" w:cs="Times New Roman"/>
                <w:b/>
                <w:sz w:val="24"/>
                <w:szCs w:val="24"/>
                <w:lang w:val="en-US"/>
              </w:rPr>
              <w:t>”</w:t>
            </w:r>
          </w:p>
        </w:tc>
      </w:tr>
      <w:tr w:rsidR="00492CAD" w:rsidRPr="00A60096" w:rsidTr="008B313B">
        <w:tc>
          <w:tcPr>
            <w:tcW w:w="9782" w:type="dxa"/>
            <w:gridSpan w:val="2"/>
          </w:tcPr>
          <w:p w:rsidR="00492CAD" w:rsidRPr="00DD04FE" w:rsidRDefault="00492CAD"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2.2.3.  Decision adopted by issuer’s Board of Directors:</w:t>
            </w:r>
          </w:p>
          <w:p w:rsidR="00476FAD" w:rsidRPr="00993BD4" w:rsidRDefault="00993BD4" w:rsidP="0060069B">
            <w:pPr>
              <w:pStyle w:val="a8"/>
              <w:tabs>
                <w:tab w:val="left" w:pos="34"/>
                <w:tab w:val="left" w:pos="264"/>
              </w:tabs>
              <w:adjustRightInd w:val="0"/>
              <w:ind w:left="34"/>
              <w:jc w:val="both"/>
              <w:outlineLvl w:val="3"/>
              <w:rPr>
                <w:lang w:val="en-US"/>
              </w:rPr>
            </w:pPr>
            <w:r w:rsidRPr="00993BD4">
              <w:rPr>
                <w:lang w:val="en-US"/>
              </w:rPr>
              <w:t>To introduce amendments to the Regulations on material incentives and benefits for top managers of Kubanenergo JSC</w:t>
            </w:r>
            <w:r>
              <w:rPr>
                <w:lang w:val="en-US"/>
              </w:rPr>
              <w:t xml:space="preserve"> disclosing Appendix 1 and 2 to Appendix 1 of redrafted Regulations in accordance with Appendix 3 to present decision of Company’s BoD.</w:t>
            </w:r>
          </w:p>
        </w:tc>
      </w:tr>
      <w:tr w:rsidR="00492CAD" w:rsidRPr="00A60096" w:rsidTr="008B313B">
        <w:tc>
          <w:tcPr>
            <w:tcW w:w="9782" w:type="dxa"/>
            <w:gridSpan w:val="2"/>
          </w:tcPr>
          <w:p w:rsidR="00492CAD" w:rsidRPr="00DD04FE" w:rsidRDefault="00492CAD"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b/>
                <w:sz w:val="24"/>
                <w:szCs w:val="24"/>
                <w:lang w:val="en-US"/>
              </w:rPr>
              <w:t>Disclosure of insider information on item No.</w:t>
            </w:r>
            <w:r w:rsidR="00F15BDF" w:rsidRPr="00DD04FE">
              <w:rPr>
                <w:rFonts w:ascii="Times New Roman" w:hAnsi="Times New Roman" w:cs="Times New Roman"/>
                <w:b/>
                <w:sz w:val="24"/>
                <w:szCs w:val="24"/>
                <w:lang w:val="en-US"/>
              </w:rPr>
              <w:t xml:space="preserve"> </w:t>
            </w:r>
            <w:r w:rsidRPr="00DD04FE">
              <w:rPr>
                <w:rFonts w:ascii="Times New Roman" w:hAnsi="Times New Roman" w:cs="Times New Roman"/>
                <w:b/>
                <w:sz w:val="24"/>
                <w:szCs w:val="24"/>
                <w:lang w:val="en-US"/>
              </w:rPr>
              <w:t>4 “</w:t>
            </w:r>
            <w:r w:rsidR="00993BD4" w:rsidRPr="00993BD4">
              <w:rPr>
                <w:rFonts w:ascii="Times New Roman" w:hAnsi="Times New Roman" w:cs="Times New Roman"/>
                <w:b/>
                <w:sz w:val="24"/>
                <w:szCs w:val="24"/>
                <w:lang w:val="en-US"/>
              </w:rPr>
              <w:t>On early termination of term of office and election of new members of the Committee for Strategy, Development, Investments and Reform attached to the Board of Directors of Kubanenergo JSC</w:t>
            </w:r>
            <w:r w:rsidRPr="00DD04FE">
              <w:rPr>
                <w:rFonts w:ascii="Times New Roman" w:hAnsi="Times New Roman" w:cs="Times New Roman"/>
                <w:b/>
                <w:sz w:val="24"/>
                <w:szCs w:val="24"/>
                <w:lang w:val="en-US"/>
              </w:rPr>
              <w:t>”</w:t>
            </w:r>
          </w:p>
        </w:tc>
      </w:tr>
      <w:tr w:rsidR="00492CAD" w:rsidRPr="00A60096" w:rsidTr="008B313B">
        <w:tc>
          <w:tcPr>
            <w:tcW w:w="9782" w:type="dxa"/>
            <w:gridSpan w:val="2"/>
          </w:tcPr>
          <w:p w:rsidR="00492CAD" w:rsidRPr="00DD04FE" w:rsidRDefault="00492CAD"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2.2.4.  Decision adopted by issuer’s Board of Directors:</w:t>
            </w:r>
          </w:p>
          <w:p w:rsidR="00BE58AA" w:rsidRDefault="000E74CC" w:rsidP="0060069B">
            <w:pPr>
              <w:tabs>
                <w:tab w:val="left" w:pos="318"/>
                <w:tab w:val="left" w:pos="1276"/>
              </w:tabs>
              <w:jc w:val="both"/>
              <w:rPr>
                <w:lang w:val="en-US"/>
              </w:rPr>
            </w:pPr>
            <w:r w:rsidRPr="00DD04FE">
              <w:rPr>
                <w:rFonts w:eastAsia="Calibri"/>
                <w:lang w:val="en-US"/>
              </w:rPr>
              <w:t xml:space="preserve"> </w:t>
            </w:r>
            <w:r w:rsidR="00EB6461">
              <w:rPr>
                <w:rFonts w:eastAsia="Calibri"/>
                <w:lang w:val="en-US"/>
              </w:rPr>
              <w:t xml:space="preserve">1. To early terminate </w:t>
            </w:r>
            <w:r w:rsidR="00EB6461" w:rsidRPr="00EB6461">
              <w:rPr>
                <w:lang w:val="en-US"/>
              </w:rPr>
              <w:t>term of office and election of new members of the Committee for Strategy, Development, Investments and Reform attached to the Board of Directors of Kubanenergo JSC</w:t>
            </w:r>
            <w:r w:rsidR="00EB6461">
              <w:rPr>
                <w:lang w:val="en-US"/>
              </w:rPr>
              <w:t>:</w:t>
            </w:r>
          </w:p>
          <w:p w:rsidR="00EB6461" w:rsidRDefault="00EB6461" w:rsidP="0060069B">
            <w:pPr>
              <w:tabs>
                <w:tab w:val="left" w:pos="318"/>
                <w:tab w:val="left" w:pos="1276"/>
              </w:tabs>
              <w:jc w:val="both"/>
              <w:rPr>
                <w:lang w:val="en-US"/>
              </w:rPr>
            </w:pPr>
            <w:r>
              <w:rPr>
                <w:lang w:val="en-US"/>
              </w:rPr>
              <w:t xml:space="preserve">- </w:t>
            </w:r>
            <w:proofErr w:type="spellStart"/>
            <w:r>
              <w:rPr>
                <w:lang w:val="en-US"/>
              </w:rPr>
              <w:t>Isaev</w:t>
            </w:r>
            <w:proofErr w:type="spellEnd"/>
            <w:r>
              <w:rPr>
                <w:lang w:val="en-US"/>
              </w:rPr>
              <w:t xml:space="preserve"> </w:t>
            </w:r>
            <w:proofErr w:type="spellStart"/>
            <w:r>
              <w:rPr>
                <w:lang w:val="en-US"/>
              </w:rPr>
              <w:t>Valeriy</w:t>
            </w:r>
            <w:proofErr w:type="spellEnd"/>
            <w:r>
              <w:rPr>
                <w:lang w:val="en-US"/>
              </w:rPr>
              <w:t xml:space="preserve"> </w:t>
            </w:r>
            <w:proofErr w:type="spellStart"/>
            <w:r>
              <w:rPr>
                <w:lang w:val="en-US"/>
              </w:rPr>
              <w:t>Ivanovich</w:t>
            </w:r>
            <w:proofErr w:type="spellEnd"/>
            <w:r>
              <w:rPr>
                <w:lang w:val="en-US"/>
              </w:rPr>
              <w:t>;</w:t>
            </w:r>
          </w:p>
          <w:p w:rsidR="00EB6461" w:rsidRDefault="00EB6461" w:rsidP="0060069B">
            <w:pPr>
              <w:tabs>
                <w:tab w:val="left" w:pos="318"/>
                <w:tab w:val="left" w:pos="1276"/>
              </w:tabs>
              <w:jc w:val="both"/>
              <w:rPr>
                <w:lang w:val="en-US"/>
              </w:rPr>
            </w:pPr>
            <w:r>
              <w:rPr>
                <w:lang w:val="en-US"/>
              </w:rPr>
              <w:t xml:space="preserve">- </w:t>
            </w:r>
            <w:proofErr w:type="spellStart"/>
            <w:r>
              <w:rPr>
                <w:lang w:val="en-US"/>
              </w:rPr>
              <w:t>Lisavin</w:t>
            </w:r>
            <w:proofErr w:type="spellEnd"/>
            <w:r>
              <w:rPr>
                <w:lang w:val="en-US"/>
              </w:rPr>
              <w:t xml:space="preserve"> Andrei Vladimirovich.</w:t>
            </w:r>
          </w:p>
          <w:p w:rsidR="00EB6461" w:rsidRDefault="00EB6461" w:rsidP="0060069B">
            <w:pPr>
              <w:tabs>
                <w:tab w:val="left" w:pos="318"/>
                <w:tab w:val="left" w:pos="1276"/>
              </w:tabs>
              <w:jc w:val="both"/>
              <w:rPr>
                <w:lang w:val="en-US"/>
              </w:rPr>
            </w:pPr>
            <w:r>
              <w:rPr>
                <w:lang w:val="en-US"/>
              </w:rPr>
              <w:t xml:space="preserve">2. </w:t>
            </w:r>
            <w:r w:rsidR="000128A3">
              <w:rPr>
                <w:lang w:val="en-US"/>
              </w:rPr>
              <w:t>To elect for the position of members of Committee for Strategy, Development, Investments and Reform attached to the Board of Directors of Kubanenergo JSC the following persons:</w:t>
            </w:r>
          </w:p>
          <w:p w:rsidR="000128A3" w:rsidRDefault="000128A3" w:rsidP="0060069B">
            <w:pPr>
              <w:tabs>
                <w:tab w:val="left" w:pos="318"/>
                <w:tab w:val="left" w:pos="1276"/>
              </w:tabs>
              <w:jc w:val="both"/>
              <w:rPr>
                <w:lang w:val="en-US"/>
              </w:rPr>
            </w:pPr>
            <w:r>
              <w:rPr>
                <w:lang w:val="en-US"/>
              </w:rPr>
              <w:t xml:space="preserve">- </w:t>
            </w:r>
            <w:proofErr w:type="spellStart"/>
            <w:r>
              <w:rPr>
                <w:lang w:val="en-US"/>
              </w:rPr>
              <w:t>Krasnikov</w:t>
            </w:r>
            <w:proofErr w:type="spellEnd"/>
            <w:r>
              <w:rPr>
                <w:lang w:val="en-US"/>
              </w:rPr>
              <w:t xml:space="preserve"> </w:t>
            </w:r>
            <w:proofErr w:type="spellStart"/>
            <w:r>
              <w:rPr>
                <w:lang w:val="en-US"/>
              </w:rPr>
              <w:t>Valeriy</w:t>
            </w:r>
            <w:proofErr w:type="spellEnd"/>
            <w:r>
              <w:rPr>
                <w:lang w:val="en-US"/>
              </w:rPr>
              <w:t xml:space="preserve"> </w:t>
            </w:r>
            <w:proofErr w:type="spellStart"/>
            <w:r>
              <w:rPr>
                <w:lang w:val="en-US"/>
              </w:rPr>
              <w:t>Nikolaevich</w:t>
            </w:r>
            <w:proofErr w:type="spellEnd"/>
            <w:r>
              <w:rPr>
                <w:lang w:val="en-US"/>
              </w:rPr>
              <w:t>, head of Department of corporate finance of “Rosseti” JSC;</w:t>
            </w:r>
          </w:p>
          <w:p w:rsidR="000128A3" w:rsidRDefault="000128A3" w:rsidP="0060069B">
            <w:pPr>
              <w:tabs>
                <w:tab w:val="left" w:pos="318"/>
                <w:tab w:val="left" w:pos="1276"/>
              </w:tabs>
              <w:jc w:val="both"/>
              <w:rPr>
                <w:lang w:val="en-US"/>
              </w:rPr>
            </w:pPr>
            <w:r>
              <w:rPr>
                <w:lang w:val="en-US"/>
              </w:rPr>
              <w:t xml:space="preserve">- </w:t>
            </w:r>
            <w:proofErr w:type="spellStart"/>
            <w:r>
              <w:rPr>
                <w:lang w:val="en-US"/>
              </w:rPr>
              <w:t>Seleznyov</w:t>
            </w:r>
            <w:proofErr w:type="spellEnd"/>
            <w:r>
              <w:rPr>
                <w:lang w:val="en-US"/>
              </w:rPr>
              <w:t xml:space="preserve"> Viktor </w:t>
            </w:r>
            <w:proofErr w:type="spellStart"/>
            <w:r>
              <w:rPr>
                <w:lang w:val="en-US"/>
              </w:rPr>
              <w:t>Yurievich</w:t>
            </w:r>
            <w:proofErr w:type="spellEnd"/>
            <w:r>
              <w:rPr>
                <w:lang w:val="en-US"/>
              </w:rPr>
              <w:t xml:space="preserve">, head of Managing board of technological and technical development, organization and control over the implementation of </w:t>
            </w:r>
            <w:r w:rsidRPr="000128A3">
              <w:rPr>
                <w:lang w:val="en-US"/>
              </w:rPr>
              <w:t>Research and Advanced Development</w:t>
            </w:r>
            <w:r>
              <w:rPr>
                <w:lang w:val="en-US"/>
              </w:rPr>
              <w:t xml:space="preserve"> of “Rosseti” JSC.</w:t>
            </w:r>
          </w:p>
          <w:p w:rsidR="000128A3" w:rsidRPr="00DD04FE" w:rsidRDefault="000128A3" w:rsidP="0060069B">
            <w:pPr>
              <w:tabs>
                <w:tab w:val="left" w:pos="318"/>
                <w:tab w:val="left" w:pos="1276"/>
              </w:tabs>
              <w:jc w:val="both"/>
              <w:rPr>
                <w:lang w:val="en-US"/>
              </w:rPr>
            </w:pPr>
            <w:r>
              <w:rPr>
                <w:lang w:val="en-US"/>
              </w:rPr>
              <w:t xml:space="preserve">3. </w:t>
            </w:r>
            <w:r w:rsidR="00BF5909">
              <w:rPr>
                <w:lang w:val="en-US"/>
              </w:rPr>
              <w:t xml:space="preserve">To elect </w:t>
            </w:r>
            <w:proofErr w:type="spellStart"/>
            <w:r w:rsidR="00BF5909">
              <w:rPr>
                <w:lang w:val="en-US"/>
              </w:rPr>
              <w:t>Krasnikov</w:t>
            </w:r>
            <w:proofErr w:type="spellEnd"/>
            <w:r w:rsidR="00BF5909">
              <w:rPr>
                <w:lang w:val="en-US"/>
              </w:rPr>
              <w:t xml:space="preserve"> </w:t>
            </w:r>
            <w:proofErr w:type="spellStart"/>
            <w:r w:rsidR="00BF5909">
              <w:rPr>
                <w:lang w:val="en-US"/>
              </w:rPr>
              <w:t>Valeriy</w:t>
            </w:r>
            <w:proofErr w:type="spellEnd"/>
            <w:r w:rsidR="00BF5909">
              <w:rPr>
                <w:lang w:val="en-US"/>
              </w:rPr>
              <w:t xml:space="preserve"> </w:t>
            </w:r>
            <w:proofErr w:type="spellStart"/>
            <w:r w:rsidR="00BF5909">
              <w:rPr>
                <w:lang w:val="en-US"/>
              </w:rPr>
              <w:t>Nikolaevich</w:t>
            </w:r>
            <w:proofErr w:type="spellEnd"/>
            <w:r w:rsidR="00BF5909">
              <w:rPr>
                <w:lang w:val="en-US"/>
              </w:rPr>
              <w:t xml:space="preserve"> for the position of Chairperson of Committee for </w:t>
            </w:r>
            <w:r w:rsidR="00BF5909" w:rsidRPr="00BF5909">
              <w:rPr>
                <w:lang w:val="en-US"/>
              </w:rPr>
              <w:t>Strategy, Development, Investments and Reform attached to the Board of Directors of Kubanenergo JSC</w:t>
            </w:r>
            <w:r w:rsidR="00BF5909">
              <w:rPr>
                <w:lang w:val="en-US"/>
              </w:rPr>
              <w:t>.</w:t>
            </w:r>
          </w:p>
        </w:tc>
      </w:tr>
      <w:tr w:rsidR="00075975" w:rsidRPr="00A60096" w:rsidTr="008B313B">
        <w:tc>
          <w:tcPr>
            <w:tcW w:w="9782" w:type="dxa"/>
            <w:gridSpan w:val="2"/>
          </w:tcPr>
          <w:p w:rsidR="00075975" w:rsidRPr="00DD04FE" w:rsidRDefault="00075975"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b/>
                <w:sz w:val="24"/>
                <w:szCs w:val="24"/>
                <w:lang w:val="en-US"/>
              </w:rPr>
              <w:t>Disclosure of insider information on item No.</w:t>
            </w:r>
            <w:r w:rsidR="00F15BDF" w:rsidRPr="00DD04FE">
              <w:rPr>
                <w:rFonts w:ascii="Times New Roman" w:hAnsi="Times New Roman" w:cs="Times New Roman"/>
                <w:b/>
                <w:sz w:val="24"/>
                <w:szCs w:val="24"/>
                <w:lang w:val="en-US"/>
              </w:rPr>
              <w:t xml:space="preserve"> </w:t>
            </w:r>
            <w:r w:rsidRPr="00DD04FE">
              <w:rPr>
                <w:rFonts w:ascii="Times New Roman" w:hAnsi="Times New Roman" w:cs="Times New Roman"/>
                <w:b/>
                <w:sz w:val="24"/>
                <w:szCs w:val="24"/>
                <w:lang w:val="en-US"/>
              </w:rPr>
              <w:t>5 “</w:t>
            </w:r>
            <w:r w:rsidR="00975176" w:rsidRPr="00975176">
              <w:rPr>
                <w:rFonts w:ascii="Times New Roman" w:hAnsi="Times New Roman" w:cs="Times New Roman"/>
                <w:b/>
                <w:sz w:val="24"/>
                <w:szCs w:val="24"/>
                <w:lang w:val="en-US"/>
              </w:rPr>
              <w:t>On early termination of term of office and election of new members of the Reliability Committee attached to the Board of Directors of Kubanenergo JSC</w:t>
            </w:r>
            <w:r w:rsidRPr="00DD04FE">
              <w:rPr>
                <w:rFonts w:ascii="Times New Roman" w:hAnsi="Times New Roman" w:cs="Times New Roman"/>
                <w:b/>
                <w:sz w:val="24"/>
                <w:szCs w:val="24"/>
                <w:lang w:val="en-US"/>
              </w:rPr>
              <w:t>”</w:t>
            </w:r>
          </w:p>
        </w:tc>
      </w:tr>
      <w:tr w:rsidR="00075975" w:rsidRPr="00A60096" w:rsidTr="008B313B">
        <w:tc>
          <w:tcPr>
            <w:tcW w:w="9782" w:type="dxa"/>
            <w:gridSpan w:val="2"/>
          </w:tcPr>
          <w:p w:rsidR="00075975" w:rsidRPr="00DD04FE" w:rsidRDefault="002B224D"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2.2.</w:t>
            </w:r>
            <w:r w:rsidR="00075975" w:rsidRPr="00DD04FE">
              <w:rPr>
                <w:rFonts w:ascii="Times New Roman" w:hAnsi="Times New Roman" w:cs="Times New Roman"/>
                <w:sz w:val="24"/>
                <w:szCs w:val="24"/>
                <w:lang w:val="en-US"/>
              </w:rPr>
              <w:t>5.  Decision adopted by issuer’s Board of Directors:</w:t>
            </w:r>
          </w:p>
          <w:p w:rsidR="006470B5" w:rsidRDefault="00975176" w:rsidP="0060069B">
            <w:pPr>
              <w:tabs>
                <w:tab w:val="left" w:pos="204"/>
              </w:tabs>
              <w:spacing w:before="60"/>
              <w:jc w:val="both"/>
              <w:rPr>
                <w:lang w:val="en-US" w:eastAsia="en-US"/>
              </w:rPr>
            </w:pPr>
            <w:r>
              <w:rPr>
                <w:lang w:val="en-US"/>
              </w:rPr>
              <w:t>1</w:t>
            </w:r>
            <w:r w:rsidR="00007346" w:rsidRPr="00DD04FE">
              <w:rPr>
                <w:lang w:val="en-US" w:eastAsia="en-US"/>
              </w:rPr>
              <w:t>.</w:t>
            </w:r>
            <w:r>
              <w:rPr>
                <w:lang w:val="en-US" w:eastAsia="en-US"/>
              </w:rPr>
              <w:t xml:space="preserve"> </w:t>
            </w:r>
            <w:r w:rsidR="004A0570">
              <w:rPr>
                <w:lang w:val="en-US" w:eastAsia="en-US"/>
              </w:rPr>
              <w:t xml:space="preserve">To early terminate term of office </w:t>
            </w:r>
            <w:proofErr w:type="spellStart"/>
            <w:r w:rsidR="004A0570">
              <w:rPr>
                <w:lang w:val="en-US" w:eastAsia="en-US"/>
              </w:rPr>
              <w:t>Zinchenko</w:t>
            </w:r>
            <w:proofErr w:type="spellEnd"/>
            <w:r w:rsidR="004A0570">
              <w:rPr>
                <w:lang w:val="en-US" w:eastAsia="en-US"/>
              </w:rPr>
              <w:t xml:space="preserve"> </w:t>
            </w:r>
            <w:proofErr w:type="spellStart"/>
            <w:r w:rsidR="004A0570">
              <w:rPr>
                <w:lang w:val="en-US" w:eastAsia="en-US"/>
              </w:rPr>
              <w:t>Pavel</w:t>
            </w:r>
            <w:proofErr w:type="spellEnd"/>
            <w:r w:rsidR="004A0570">
              <w:rPr>
                <w:lang w:val="en-US" w:eastAsia="en-US"/>
              </w:rPr>
              <w:t xml:space="preserve"> </w:t>
            </w:r>
            <w:proofErr w:type="spellStart"/>
            <w:r w:rsidR="004A0570">
              <w:rPr>
                <w:lang w:val="en-US" w:eastAsia="en-US"/>
              </w:rPr>
              <w:t>Vasilievich</w:t>
            </w:r>
            <w:proofErr w:type="spellEnd"/>
            <w:r w:rsidR="004A0570">
              <w:rPr>
                <w:lang w:val="en-US" w:eastAsia="en-US"/>
              </w:rPr>
              <w:t xml:space="preserve">, member of </w:t>
            </w:r>
            <w:r w:rsidR="004A0570" w:rsidRPr="004A0570">
              <w:rPr>
                <w:lang w:val="en-US"/>
              </w:rPr>
              <w:t>Reliability Committee</w:t>
            </w:r>
            <w:r w:rsidR="004A0570">
              <w:rPr>
                <w:b/>
                <w:lang w:val="en-US"/>
              </w:rPr>
              <w:t xml:space="preserve"> </w:t>
            </w:r>
            <w:r w:rsidR="004A0570">
              <w:rPr>
                <w:lang w:val="en-US" w:eastAsia="en-US"/>
              </w:rPr>
              <w:t>of “Kubanenergo” JSC BoD.</w:t>
            </w:r>
          </w:p>
          <w:p w:rsidR="004A0570" w:rsidRPr="00DD04FE" w:rsidRDefault="004A0570" w:rsidP="0060069B">
            <w:pPr>
              <w:tabs>
                <w:tab w:val="left" w:pos="204"/>
              </w:tabs>
              <w:spacing w:before="60"/>
              <w:jc w:val="both"/>
              <w:rPr>
                <w:lang w:val="en-US" w:eastAsia="en-US"/>
              </w:rPr>
            </w:pPr>
            <w:r>
              <w:rPr>
                <w:lang w:val="en-US" w:eastAsia="en-US"/>
              </w:rPr>
              <w:t xml:space="preserve">2. </w:t>
            </w:r>
            <w:r w:rsidR="004134ED">
              <w:rPr>
                <w:lang w:val="en-US" w:eastAsia="en-US"/>
              </w:rPr>
              <w:t xml:space="preserve">To elect </w:t>
            </w:r>
            <w:proofErr w:type="spellStart"/>
            <w:r w:rsidR="004134ED">
              <w:rPr>
                <w:lang w:val="en-US" w:eastAsia="en-US"/>
              </w:rPr>
              <w:t>Ryazantsev</w:t>
            </w:r>
            <w:proofErr w:type="spellEnd"/>
            <w:r w:rsidR="004134ED">
              <w:rPr>
                <w:lang w:val="en-US" w:eastAsia="en-US"/>
              </w:rPr>
              <w:t xml:space="preserve"> </w:t>
            </w:r>
            <w:proofErr w:type="spellStart"/>
            <w:r w:rsidR="004134ED">
              <w:rPr>
                <w:lang w:val="en-US" w:eastAsia="en-US"/>
              </w:rPr>
              <w:t>Dmitriy</w:t>
            </w:r>
            <w:proofErr w:type="spellEnd"/>
            <w:r w:rsidR="004134ED">
              <w:rPr>
                <w:lang w:val="en-US" w:eastAsia="en-US"/>
              </w:rPr>
              <w:t xml:space="preserve"> </w:t>
            </w:r>
            <w:proofErr w:type="spellStart"/>
            <w:r w:rsidR="004134ED">
              <w:rPr>
                <w:lang w:val="en-US" w:eastAsia="en-US"/>
              </w:rPr>
              <w:t>Yurievich</w:t>
            </w:r>
            <w:proofErr w:type="spellEnd"/>
            <w:r w:rsidR="004134ED">
              <w:rPr>
                <w:lang w:val="en-US" w:eastAsia="en-US"/>
              </w:rPr>
              <w:t>, first deputy Director General, head engineer of “Kubanenergo” JSC</w:t>
            </w:r>
            <w:r w:rsidR="000B287C">
              <w:rPr>
                <w:lang w:val="en-US" w:eastAsia="en-US"/>
              </w:rPr>
              <w:t xml:space="preserve"> for the position of member of the Reliability Committee of “Kubanenergo” JSC BoD.</w:t>
            </w:r>
          </w:p>
        </w:tc>
      </w:tr>
      <w:tr w:rsidR="00075975" w:rsidRPr="00A60096" w:rsidTr="008B313B">
        <w:tc>
          <w:tcPr>
            <w:tcW w:w="9782" w:type="dxa"/>
            <w:gridSpan w:val="2"/>
          </w:tcPr>
          <w:p w:rsidR="00075975" w:rsidRPr="00DD04FE" w:rsidRDefault="00075975"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b/>
                <w:sz w:val="24"/>
                <w:szCs w:val="24"/>
                <w:lang w:val="en-US"/>
              </w:rPr>
              <w:t>Disclosure of insider information on item No.</w:t>
            </w:r>
            <w:r w:rsidR="00F15BDF" w:rsidRPr="00DD04FE">
              <w:rPr>
                <w:rFonts w:ascii="Times New Roman" w:hAnsi="Times New Roman" w:cs="Times New Roman"/>
                <w:b/>
                <w:sz w:val="24"/>
                <w:szCs w:val="24"/>
                <w:lang w:val="en-US"/>
              </w:rPr>
              <w:t xml:space="preserve"> </w:t>
            </w:r>
            <w:r w:rsidRPr="00DD04FE">
              <w:rPr>
                <w:rFonts w:ascii="Times New Roman" w:hAnsi="Times New Roman" w:cs="Times New Roman"/>
                <w:b/>
                <w:sz w:val="24"/>
                <w:szCs w:val="24"/>
                <w:lang w:val="en-US"/>
              </w:rPr>
              <w:t>6</w:t>
            </w:r>
            <w:r w:rsidR="00710AF9" w:rsidRPr="00DD04FE">
              <w:rPr>
                <w:rFonts w:ascii="Times New Roman" w:hAnsi="Times New Roman" w:cs="Times New Roman"/>
                <w:b/>
                <w:sz w:val="24"/>
                <w:szCs w:val="24"/>
                <w:lang w:val="en-US"/>
              </w:rPr>
              <w:t xml:space="preserve"> “</w:t>
            </w:r>
            <w:r w:rsidR="00480DF2" w:rsidRPr="00480DF2">
              <w:rPr>
                <w:rFonts w:ascii="Times New Roman" w:hAnsi="Times New Roman" w:cs="Times New Roman"/>
                <w:b/>
                <w:sz w:val="24"/>
                <w:szCs w:val="24"/>
                <w:lang w:val="en-US"/>
              </w:rPr>
              <w:t>On approving the report on the results of the implementation of the business plan (including the investment program) of Kubanenergo JSC for the 2nd quarter and 6 months of 2014</w:t>
            </w:r>
            <w:r w:rsidR="00710AF9" w:rsidRPr="00DD04FE">
              <w:rPr>
                <w:rFonts w:ascii="Times New Roman" w:hAnsi="Times New Roman" w:cs="Times New Roman"/>
                <w:b/>
                <w:sz w:val="24"/>
                <w:szCs w:val="24"/>
                <w:lang w:val="en-US"/>
              </w:rPr>
              <w:t>”</w:t>
            </w:r>
          </w:p>
        </w:tc>
      </w:tr>
      <w:tr w:rsidR="00075975" w:rsidRPr="00032D68" w:rsidTr="008B313B">
        <w:tc>
          <w:tcPr>
            <w:tcW w:w="9782" w:type="dxa"/>
            <w:gridSpan w:val="2"/>
          </w:tcPr>
          <w:p w:rsidR="00075975" w:rsidRPr="00DD04FE" w:rsidRDefault="00075975"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2.2.</w:t>
            </w:r>
            <w:r w:rsidR="00710AF9" w:rsidRPr="00DD04FE">
              <w:rPr>
                <w:rFonts w:ascii="Times New Roman" w:hAnsi="Times New Roman" w:cs="Times New Roman"/>
                <w:sz w:val="24"/>
                <w:szCs w:val="24"/>
                <w:lang w:val="en-US"/>
              </w:rPr>
              <w:t>6</w:t>
            </w:r>
            <w:r w:rsidRPr="00DD04FE">
              <w:rPr>
                <w:rFonts w:ascii="Times New Roman" w:hAnsi="Times New Roman" w:cs="Times New Roman"/>
                <w:sz w:val="24"/>
                <w:szCs w:val="24"/>
                <w:lang w:val="en-US"/>
              </w:rPr>
              <w:t>.  Decision adopted by issuer’s Board of Directors:</w:t>
            </w:r>
          </w:p>
          <w:p w:rsidR="00A2358F" w:rsidRPr="00DD04FE" w:rsidRDefault="00BE7BE8" w:rsidP="0060069B">
            <w:pPr>
              <w:pStyle w:val="a3"/>
              <w:spacing w:before="6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BE7BE8">
              <w:rPr>
                <w:rFonts w:ascii="Times New Roman" w:hAnsi="Times New Roman" w:cs="Times New Roman"/>
                <w:sz w:val="24"/>
                <w:szCs w:val="24"/>
                <w:lang w:val="en-US"/>
              </w:rPr>
              <w:t>ommercial classified information</w:t>
            </w:r>
            <w:r>
              <w:rPr>
                <w:rFonts w:ascii="Times New Roman" w:hAnsi="Times New Roman" w:cs="Times New Roman"/>
                <w:sz w:val="24"/>
                <w:szCs w:val="24"/>
                <w:lang w:val="en-US"/>
              </w:rPr>
              <w:t>.</w:t>
            </w:r>
          </w:p>
        </w:tc>
      </w:tr>
      <w:tr w:rsidR="00075975" w:rsidRPr="00A60096" w:rsidTr="008B313B">
        <w:tc>
          <w:tcPr>
            <w:tcW w:w="9782" w:type="dxa"/>
            <w:gridSpan w:val="2"/>
          </w:tcPr>
          <w:p w:rsidR="00075975" w:rsidRPr="00DD04FE" w:rsidRDefault="00075975"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b/>
                <w:sz w:val="24"/>
                <w:szCs w:val="24"/>
                <w:lang w:val="en-US"/>
              </w:rPr>
              <w:t>Disclosure of insider information on item No.</w:t>
            </w:r>
            <w:r w:rsidR="00F15BDF" w:rsidRPr="00DD04FE">
              <w:rPr>
                <w:rFonts w:ascii="Times New Roman" w:hAnsi="Times New Roman" w:cs="Times New Roman"/>
                <w:b/>
                <w:sz w:val="24"/>
                <w:szCs w:val="24"/>
                <w:lang w:val="en-US"/>
              </w:rPr>
              <w:t xml:space="preserve"> </w:t>
            </w:r>
            <w:r w:rsidRPr="00DD04FE">
              <w:rPr>
                <w:rFonts w:ascii="Times New Roman" w:hAnsi="Times New Roman" w:cs="Times New Roman"/>
                <w:b/>
                <w:sz w:val="24"/>
                <w:szCs w:val="24"/>
                <w:lang w:val="en-US"/>
              </w:rPr>
              <w:t>7</w:t>
            </w:r>
            <w:r w:rsidR="00E316B0" w:rsidRPr="00DD04FE">
              <w:rPr>
                <w:rFonts w:ascii="Times New Roman" w:hAnsi="Times New Roman" w:cs="Times New Roman"/>
                <w:b/>
                <w:sz w:val="24"/>
                <w:szCs w:val="24"/>
                <w:lang w:val="en-US"/>
              </w:rPr>
              <w:t xml:space="preserve"> “</w:t>
            </w:r>
            <w:r w:rsidR="00BE7BE8" w:rsidRPr="00BE7BE8">
              <w:rPr>
                <w:rFonts w:ascii="Times New Roman" w:hAnsi="Times New Roman" w:cs="Times New Roman"/>
                <w:b/>
                <w:sz w:val="24"/>
                <w:szCs w:val="24"/>
                <w:lang w:val="en-US"/>
              </w:rPr>
              <w:t>On approving the results of the implementation of the target values of key performance indicators of Kubanenergo JSC for the 2nd quarter 2014</w:t>
            </w:r>
            <w:r w:rsidR="00E316B0" w:rsidRPr="00DD04FE">
              <w:rPr>
                <w:rFonts w:ascii="Times New Roman" w:hAnsi="Times New Roman" w:cs="Times New Roman"/>
                <w:b/>
                <w:sz w:val="24"/>
                <w:szCs w:val="24"/>
                <w:lang w:val="en-US"/>
              </w:rPr>
              <w:t>”</w:t>
            </w:r>
          </w:p>
        </w:tc>
      </w:tr>
      <w:tr w:rsidR="00075975" w:rsidRPr="00A60096" w:rsidTr="008B313B">
        <w:trPr>
          <w:trHeight w:val="283"/>
        </w:trPr>
        <w:tc>
          <w:tcPr>
            <w:tcW w:w="9782" w:type="dxa"/>
            <w:gridSpan w:val="2"/>
          </w:tcPr>
          <w:p w:rsidR="00E87EC4" w:rsidRPr="00DD04FE" w:rsidRDefault="00E87EC4"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2.2.7.  Decision adopted by issuer’s Board of Directors:</w:t>
            </w:r>
          </w:p>
          <w:p w:rsidR="00F02F92" w:rsidRPr="00DD04FE" w:rsidRDefault="00950FD9" w:rsidP="0060069B">
            <w:pPr>
              <w:pStyle w:val="a3"/>
              <w:spacing w:before="60"/>
              <w:jc w:val="both"/>
              <w:rPr>
                <w:rFonts w:ascii="Times New Roman" w:hAnsi="Times New Roman" w:cs="Times New Roman"/>
                <w:color w:val="000000"/>
                <w:sz w:val="24"/>
                <w:szCs w:val="24"/>
                <w:lang w:val="en-US"/>
              </w:rPr>
            </w:pPr>
            <w:r w:rsidRPr="00DD04FE">
              <w:rPr>
                <w:rFonts w:ascii="Times New Roman" w:hAnsi="Times New Roman" w:cs="Times New Roman"/>
                <w:color w:val="000000"/>
                <w:sz w:val="24"/>
                <w:szCs w:val="24"/>
                <w:lang w:val="en-US"/>
              </w:rPr>
              <w:t xml:space="preserve"> </w:t>
            </w:r>
            <w:r w:rsidR="00BE7BE8">
              <w:rPr>
                <w:rFonts w:ascii="Times New Roman" w:hAnsi="Times New Roman" w:cs="Times New Roman"/>
                <w:color w:val="000000"/>
                <w:sz w:val="24"/>
                <w:szCs w:val="24"/>
                <w:lang w:val="en-US"/>
              </w:rPr>
              <w:t xml:space="preserve">To approve </w:t>
            </w:r>
            <w:r w:rsidR="00BE7BE8" w:rsidRPr="00BE7BE8">
              <w:rPr>
                <w:rFonts w:ascii="Times New Roman" w:hAnsi="Times New Roman" w:cs="Times New Roman"/>
                <w:sz w:val="24"/>
                <w:szCs w:val="24"/>
                <w:lang w:val="en-US"/>
              </w:rPr>
              <w:t>the results of the implementation of the target values of key performance indicators of Kubanenergo JSC for the 2nd quarter 2014</w:t>
            </w:r>
            <w:r w:rsidR="00BE7BE8">
              <w:rPr>
                <w:rFonts w:ascii="Times New Roman" w:hAnsi="Times New Roman" w:cs="Times New Roman"/>
                <w:sz w:val="24"/>
                <w:szCs w:val="24"/>
                <w:lang w:val="en-US"/>
              </w:rPr>
              <w:t xml:space="preserve"> in accordance with Appendix 5 to present decision of </w:t>
            </w:r>
            <w:r w:rsidR="00BE7BE8">
              <w:rPr>
                <w:rFonts w:ascii="Times New Roman" w:hAnsi="Times New Roman" w:cs="Times New Roman"/>
                <w:sz w:val="24"/>
                <w:szCs w:val="24"/>
                <w:lang w:val="en-US"/>
              </w:rPr>
              <w:lastRenderedPageBreak/>
              <w:t>Company’s BoD.</w:t>
            </w:r>
          </w:p>
        </w:tc>
      </w:tr>
      <w:tr w:rsidR="00075975" w:rsidRPr="00A60096" w:rsidTr="008B313B">
        <w:tc>
          <w:tcPr>
            <w:tcW w:w="9782" w:type="dxa"/>
            <w:gridSpan w:val="2"/>
          </w:tcPr>
          <w:p w:rsidR="00075975" w:rsidRPr="00DD04FE" w:rsidRDefault="00075975"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b/>
                <w:sz w:val="24"/>
                <w:szCs w:val="24"/>
                <w:lang w:val="en-US"/>
              </w:rPr>
              <w:lastRenderedPageBreak/>
              <w:t>Disclosure of insider information on item No.</w:t>
            </w:r>
            <w:r w:rsidR="00BB07E3" w:rsidRPr="00DD04FE">
              <w:rPr>
                <w:rFonts w:ascii="Times New Roman" w:hAnsi="Times New Roman" w:cs="Times New Roman"/>
                <w:b/>
                <w:sz w:val="24"/>
                <w:szCs w:val="24"/>
                <w:lang w:val="en-US"/>
              </w:rPr>
              <w:t xml:space="preserve"> </w:t>
            </w:r>
            <w:r w:rsidRPr="00DD04FE">
              <w:rPr>
                <w:rFonts w:ascii="Times New Roman" w:hAnsi="Times New Roman" w:cs="Times New Roman"/>
                <w:b/>
                <w:sz w:val="24"/>
                <w:szCs w:val="24"/>
                <w:lang w:val="en-US"/>
              </w:rPr>
              <w:t>8</w:t>
            </w:r>
            <w:r w:rsidR="009178B5" w:rsidRPr="00DD04FE">
              <w:rPr>
                <w:rFonts w:ascii="Times New Roman" w:hAnsi="Times New Roman" w:cs="Times New Roman"/>
                <w:b/>
                <w:sz w:val="24"/>
                <w:szCs w:val="24"/>
                <w:lang w:val="en-US"/>
              </w:rPr>
              <w:t xml:space="preserve"> “</w:t>
            </w:r>
            <w:r w:rsidR="00BE7BE8" w:rsidRPr="00BE7BE8">
              <w:rPr>
                <w:rFonts w:ascii="Times New Roman" w:hAnsi="Times New Roman" w:cs="Times New Roman"/>
                <w:b/>
                <w:sz w:val="24"/>
                <w:lang w:val="en-US"/>
              </w:rPr>
              <w:t>On determining the cases (amounts) of transactions with property owned by Kubanenergo JSC, subject to prior approval by the Board of Directors, as amended</w:t>
            </w:r>
            <w:r w:rsidR="008D5552" w:rsidRPr="00DD04FE">
              <w:rPr>
                <w:rFonts w:ascii="Times New Roman" w:hAnsi="Times New Roman" w:cs="Times New Roman"/>
                <w:b/>
                <w:sz w:val="24"/>
                <w:szCs w:val="24"/>
                <w:lang w:val="en-US"/>
              </w:rPr>
              <w:t>”</w:t>
            </w:r>
          </w:p>
        </w:tc>
      </w:tr>
      <w:tr w:rsidR="008D5552" w:rsidRPr="00A80737" w:rsidTr="008B313B">
        <w:tc>
          <w:tcPr>
            <w:tcW w:w="9782" w:type="dxa"/>
            <w:gridSpan w:val="2"/>
          </w:tcPr>
          <w:p w:rsidR="008D5552" w:rsidRPr="00A80737" w:rsidRDefault="008D5552" w:rsidP="0060069B">
            <w:pPr>
              <w:pStyle w:val="a3"/>
              <w:spacing w:before="60"/>
              <w:jc w:val="both"/>
              <w:rPr>
                <w:rFonts w:ascii="Times New Roman" w:hAnsi="Times New Roman" w:cs="Times New Roman"/>
                <w:sz w:val="24"/>
                <w:szCs w:val="24"/>
                <w:lang w:val="en-US"/>
              </w:rPr>
            </w:pPr>
            <w:r w:rsidRPr="00A80737">
              <w:rPr>
                <w:rFonts w:ascii="Times New Roman" w:hAnsi="Times New Roman" w:cs="Times New Roman"/>
                <w:sz w:val="24"/>
                <w:szCs w:val="24"/>
                <w:lang w:val="en-US"/>
              </w:rPr>
              <w:t>2.2.</w:t>
            </w:r>
            <w:r w:rsidR="00394737" w:rsidRPr="00A80737">
              <w:rPr>
                <w:rFonts w:ascii="Times New Roman" w:hAnsi="Times New Roman" w:cs="Times New Roman"/>
                <w:sz w:val="24"/>
                <w:szCs w:val="24"/>
                <w:lang w:val="en-US"/>
              </w:rPr>
              <w:t>8</w:t>
            </w:r>
            <w:r w:rsidRPr="00A80737">
              <w:rPr>
                <w:rFonts w:ascii="Times New Roman" w:hAnsi="Times New Roman" w:cs="Times New Roman"/>
                <w:sz w:val="24"/>
                <w:szCs w:val="24"/>
                <w:lang w:val="en-US"/>
              </w:rPr>
              <w:t>.  Decision adopted by issuer’s Board of Directors:</w:t>
            </w:r>
          </w:p>
          <w:p w:rsidR="00BE7BE8" w:rsidRPr="00A80737" w:rsidRDefault="005908CB" w:rsidP="0060069B">
            <w:pPr>
              <w:pStyle w:val="a3"/>
              <w:spacing w:before="60"/>
              <w:jc w:val="both"/>
              <w:rPr>
                <w:rFonts w:ascii="Times New Roman" w:hAnsi="Times New Roman" w:cs="Times New Roman"/>
                <w:sz w:val="24"/>
                <w:szCs w:val="24"/>
                <w:lang w:val="en-US"/>
              </w:rPr>
            </w:pPr>
            <w:r w:rsidRPr="00A80737">
              <w:rPr>
                <w:rFonts w:ascii="Times New Roman" w:hAnsi="Times New Roman" w:cs="Times New Roman"/>
                <w:sz w:val="24"/>
                <w:szCs w:val="24"/>
                <w:lang w:val="en-US"/>
              </w:rPr>
              <w:t>1. To determine that in accordance with parts “</w:t>
            </w:r>
            <w:r w:rsidR="0097151C" w:rsidRPr="00A80737">
              <w:rPr>
                <w:rFonts w:ascii="Times New Roman" w:hAnsi="Times New Roman" w:cs="Times New Roman"/>
                <w:sz w:val="24"/>
                <w:szCs w:val="24"/>
                <w:lang w:val="en-US"/>
              </w:rPr>
              <w:t>b</w:t>
            </w:r>
            <w:r w:rsidRPr="00A80737">
              <w:rPr>
                <w:rFonts w:ascii="Times New Roman" w:hAnsi="Times New Roman" w:cs="Times New Roman"/>
                <w:sz w:val="24"/>
                <w:szCs w:val="24"/>
                <w:lang w:val="en-US"/>
              </w:rPr>
              <w:t>” and “</w:t>
            </w:r>
            <w:r w:rsidR="0097151C" w:rsidRPr="00A80737">
              <w:rPr>
                <w:rFonts w:ascii="Times New Roman" w:hAnsi="Times New Roman" w:cs="Times New Roman"/>
                <w:sz w:val="24"/>
                <w:szCs w:val="24"/>
                <w:lang w:val="en-US"/>
              </w:rPr>
              <w:t>c</w:t>
            </w:r>
            <w:r w:rsidRPr="00A80737">
              <w:rPr>
                <w:rFonts w:ascii="Times New Roman" w:hAnsi="Times New Roman" w:cs="Times New Roman"/>
                <w:sz w:val="24"/>
                <w:szCs w:val="24"/>
                <w:lang w:val="en-US"/>
              </w:rPr>
              <w:t xml:space="preserve">” of sub-paragraph </w:t>
            </w:r>
            <w:r w:rsidR="0097151C" w:rsidRPr="00A80737">
              <w:rPr>
                <w:rFonts w:ascii="Times New Roman" w:hAnsi="Times New Roman" w:cs="Times New Roman"/>
                <w:sz w:val="24"/>
                <w:szCs w:val="24"/>
                <w:lang w:val="en-US"/>
              </w:rPr>
              <w:t>38</w:t>
            </w:r>
            <w:r w:rsidRPr="00A80737">
              <w:rPr>
                <w:rFonts w:ascii="Times New Roman" w:hAnsi="Times New Roman" w:cs="Times New Roman"/>
                <w:sz w:val="24"/>
                <w:szCs w:val="24"/>
                <w:lang w:val="en-US"/>
              </w:rPr>
              <w:t xml:space="preserve">, paragraph 15.1, article 15 of </w:t>
            </w:r>
            <w:r w:rsidR="00F839D6" w:rsidRPr="00A80737">
              <w:rPr>
                <w:rFonts w:ascii="Times New Roman" w:hAnsi="Times New Roman" w:cs="Times New Roman"/>
                <w:sz w:val="24"/>
                <w:szCs w:val="24"/>
                <w:lang w:val="en-US"/>
              </w:rPr>
              <w:t>Company</w:t>
            </w:r>
            <w:r w:rsidR="0097151C" w:rsidRPr="00A80737">
              <w:rPr>
                <w:rFonts w:ascii="Times New Roman" w:hAnsi="Times New Roman" w:cs="Times New Roman"/>
                <w:sz w:val="24"/>
                <w:szCs w:val="24"/>
                <w:lang w:val="en-US"/>
              </w:rPr>
              <w:t>’s</w:t>
            </w:r>
            <w:r w:rsidR="00F839D6" w:rsidRPr="00A80737">
              <w:rPr>
                <w:rFonts w:ascii="Times New Roman" w:hAnsi="Times New Roman" w:cs="Times New Roman"/>
                <w:sz w:val="24"/>
                <w:szCs w:val="24"/>
                <w:lang w:val="en-US"/>
              </w:rPr>
              <w:t xml:space="preserve"> Charter</w:t>
            </w:r>
            <w:r w:rsidRPr="00A80737">
              <w:rPr>
                <w:rFonts w:ascii="Times New Roman" w:hAnsi="Times New Roman" w:cs="Times New Roman"/>
                <w:sz w:val="24"/>
                <w:szCs w:val="24"/>
                <w:lang w:val="en-US"/>
              </w:rPr>
              <w:t xml:space="preserve"> </w:t>
            </w:r>
            <w:r w:rsidR="00981EC3" w:rsidRPr="00A80737">
              <w:rPr>
                <w:rFonts w:ascii="Times New Roman" w:hAnsi="Times New Roman" w:cs="Times New Roman"/>
                <w:sz w:val="24"/>
                <w:szCs w:val="24"/>
                <w:lang w:val="en-US"/>
              </w:rPr>
              <w:t>the BoD should preliminary approve transactions (group of inter-connected transactions) related with alienation or possible alienation of:</w:t>
            </w:r>
          </w:p>
          <w:p w:rsidR="00BE7BE8" w:rsidRPr="00A80737" w:rsidRDefault="00981EC3" w:rsidP="0060069B">
            <w:pPr>
              <w:widowControl w:val="0"/>
              <w:tabs>
                <w:tab w:val="left" w:pos="1418"/>
              </w:tabs>
              <w:jc w:val="both"/>
              <w:rPr>
                <w:snapToGrid w:val="0"/>
                <w:spacing w:val="-2"/>
                <w:lang w:val="en-US"/>
              </w:rPr>
            </w:pPr>
            <w:r w:rsidRPr="00A80737">
              <w:rPr>
                <w:lang w:val="en-US"/>
              </w:rPr>
              <w:t xml:space="preserve">1.1. </w:t>
            </w:r>
            <w:r w:rsidR="00554F3E" w:rsidRPr="00A80737">
              <w:rPr>
                <w:lang w:val="en-US"/>
              </w:rPr>
              <w:t xml:space="preserve">fixed assets </w:t>
            </w:r>
            <w:r w:rsidR="001F0742" w:rsidRPr="00A80737">
              <w:rPr>
                <w:lang w:val="en-US"/>
              </w:rPr>
              <w:t>considered</w:t>
            </w:r>
            <w:r w:rsidR="00554F3E" w:rsidRPr="00A80737">
              <w:rPr>
                <w:lang w:val="en-US"/>
              </w:rPr>
              <w:t xml:space="preserve"> in accordance with </w:t>
            </w:r>
            <w:r w:rsidR="001F0742" w:rsidRPr="00A80737">
              <w:rPr>
                <w:lang w:val="en-US"/>
              </w:rPr>
              <w:t>legislation as immovable property, construction-in-progress facilities, used for production, transmission, operational control, distribution of electric and heating energy regardless their balance or market cost</w:t>
            </w:r>
            <w:r w:rsidR="00BE7BE8" w:rsidRPr="00A80737">
              <w:rPr>
                <w:snapToGrid w:val="0"/>
                <w:spacing w:val="-2"/>
                <w:lang w:val="en-US"/>
              </w:rPr>
              <w:t>;</w:t>
            </w:r>
          </w:p>
          <w:p w:rsidR="00BE7BE8" w:rsidRPr="00A80737" w:rsidRDefault="00981EC3" w:rsidP="0060069B">
            <w:pPr>
              <w:tabs>
                <w:tab w:val="left" w:pos="1418"/>
              </w:tabs>
              <w:adjustRightInd w:val="0"/>
              <w:jc w:val="both"/>
              <w:rPr>
                <w:snapToGrid w:val="0"/>
                <w:spacing w:val="-2"/>
                <w:lang w:val="en-US"/>
              </w:rPr>
            </w:pPr>
            <w:r w:rsidRPr="00A80737">
              <w:rPr>
                <w:snapToGrid w:val="0"/>
                <w:spacing w:val="-2"/>
                <w:lang w:val="en-US"/>
              </w:rPr>
              <w:t xml:space="preserve">1.2. </w:t>
            </w:r>
            <w:r w:rsidR="001F20A3" w:rsidRPr="00A80737">
              <w:rPr>
                <w:lang w:val="en-US"/>
              </w:rPr>
              <w:t xml:space="preserve">fixed assets considered in accordance with legislation as immovable property, construction-in-progress facilities, that are not used for production, transmission, operational control, distribution of electric and heating energy, which balance cost exceeds 30 million rubles, </w:t>
            </w:r>
            <w:r w:rsidR="00F0277C" w:rsidRPr="00A80737">
              <w:rPr>
                <w:lang w:val="en-US"/>
              </w:rPr>
              <w:t>except cases of alienation</w:t>
            </w:r>
            <w:r w:rsidR="009C2C03" w:rsidRPr="00A80737">
              <w:rPr>
                <w:lang w:val="en-US"/>
              </w:rPr>
              <w:t xml:space="preserve"> of utility facilities regardless their balance or market cost</w:t>
            </w:r>
            <w:r w:rsidR="00F0277C" w:rsidRPr="00A80737">
              <w:rPr>
                <w:lang w:val="en-US"/>
              </w:rPr>
              <w:t xml:space="preserve"> on a non-repayable basis </w:t>
            </w:r>
            <w:r w:rsidR="00BE7BE8" w:rsidRPr="00A80737">
              <w:rPr>
                <w:lang w:val="en-US"/>
              </w:rPr>
              <w:t>(</w:t>
            </w:r>
            <w:r w:rsidR="00F0277C" w:rsidRPr="00A80737">
              <w:rPr>
                <w:lang w:val="en-US"/>
              </w:rPr>
              <w:t xml:space="preserve">as well as in accordance with sub-paragraphs 29 of paragraph  15.1 article </w:t>
            </w:r>
            <w:r w:rsidR="00BE7BE8" w:rsidRPr="00A80737">
              <w:rPr>
                <w:lang w:val="en-US"/>
              </w:rPr>
              <w:t>15</w:t>
            </w:r>
            <w:r w:rsidR="00F0277C" w:rsidRPr="00A80737">
              <w:rPr>
                <w:lang w:val="en-US"/>
              </w:rPr>
              <w:t xml:space="preserve"> of Company’s Charter describing transactions </w:t>
            </w:r>
            <w:r w:rsidR="00F83B08" w:rsidRPr="00A80737">
              <w:rPr>
                <w:lang w:val="en-US"/>
              </w:rPr>
              <w:t xml:space="preserve">involving free of charge provision of property owned </w:t>
            </w:r>
            <w:r w:rsidR="005673D4" w:rsidRPr="00A80737">
              <w:rPr>
                <w:lang w:val="en-US"/>
              </w:rPr>
              <w:t>b</w:t>
            </w:r>
            <w:r w:rsidR="00F83B08" w:rsidRPr="00A80737">
              <w:rPr>
                <w:lang w:val="en-US"/>
              </w:rPr>
              <w:t>y the Company</w:t>
            </w:r>
            <w:r w:rsidR="00BE7BE8" w:rsidRPr="00A80737">
              <w:rPr>
                <w:lang w:val="en-US"/>
              </w:rPr>
              <w:t>)</w:t>
            </w:r>
            <w:r w:rsidR="005673D4" w:rsidRPr="00A80737">
              <w:rPr>
                <w:lang w:val="en-US"/>
              </w:rPr>
              <w:t xml:space="preserve"> to state or municipal property</w:t>
            </w:r>
            <w:r w:rsidR="00BE7BE8" w:rsidRPr="00A80737">
              <w:rPr>
                <w:lang w:val="en-US"/>
              </w:rPr>
              <w:t>;</w:t>
            </w:r>
          </w:p>
          <w:p w:rsidR="00BE7BE8" w:rsidRPr="00A80737" w:rsidRDefault="00981EC3" w:rsidP="0060069B">
            <w:pPr>
              <w:widowControl w:val="0"/>
              <w:tabs>
                <w:tab w:val="left" w:pos="1134"/>
              </w:tabs>
              <w:jc w:val="both"/>
              <w:rPr>
                <w:lang w:val="en-US"/>
              </w:rPr>
            </w:pPr>
            <w:r w:rsidRPr="00A80737">
              <w:rPr>
                <w:snapToGrid w:val="0"/>
                <w:spacing w:val="-2"/>
                <w:lang w:val="en-US"/>
              </w:rPr>
              <w:t xml:space="preserve">1.3. </w:t>
            </w:r>
            <w:r w:rsidR="009C2C03" w:rsidRPr="00A80737">
              <w:rPr>
                <w:lang w:val="en-US"/>
              </w:rPr>
              <w:t>fixed assets except those considered in accordance with legislation as immovable property regardless their purpose of usage</w:t>
            </w:r>
            <w:r w:rsidR="00BE7BE8" w:rsidRPr="00A80737">
              <w:rPr>
                <w:spacing w:val="4"/>
                <w:lang w:val="en-US"/>
              </w:rPr>
              <w:t>,</w:t>
            </w:r>
            <w:r w:rsidR="009C2C03" w:rsidRPr="00A80737">
              <w:rPr>
                <w:spacing w:val="4"/>
                <w:lang w:val="en-US"/>
              </w:rPr>
              <w:t xml:space="preserve"> balance or market cost of which exceeds 30 million rubles</w:t>
            </w:r>
            <w:r w:rsidR="00BE7BE8" w:rsidRPr="00A80737">
              <w:rPr>
                <w:spacing w:val="2"/>
                <w:lang w:val="en-US"/>
              </w:rPr>
              <w:t>;</w:t>
            </w:r>
          </w:p>
          <w:p w:rsidR="00BE7BE8" w:rsidRPr="00A80737" w:rsidRDefault="00981EC3" w:rsidP="0060069B">
            <w:pPr>
              <w:widowControl w:val="0"/>
              <w:tabs>
                <w:tab w:val="left" w:pos="1134"/>
              </w:tabs>
              <w:jc w:val="both"/>
              <w:rPr>
                <w:snapToGrid w:val="0"/>
                <w:spacing w:val="-2"/>
                <w:lang w:val="en-US"/>
              </w:rPr>
            </w:pPr>
            <w:r w:rsidRPr="00A80737">
              <w:rPr>
                <w:snapToGrid w:val="0"/>
                <w:spacing w:val="-2"/>
                <w:lang w:val="en-US"/>
              </w:rPr>
              <w:t xml:space="preserve">1.4. </w:t>
            </w:r>
            <w:proofErr w:type="gramStart"/>
            <w:r w:rsidR="00E865F9" w:rsidRPr="00A80737">
              <w:rPr>
                <w:snapToGrid w:val="0"/>
                <w:spacing w:val="-2"/>
                <w:lang w:val="en-US"/>
              </w:rPr>
              <w:t>intangible</w:t>
            </w:r>
            <w:proofErr w:type="gramEnd"/>
            <w:r w:rsidR="00E865F9" w:rsidRPr="00A80737">
              <w:rPr>
                <w:snapToGrid w:val="0"/>
                <w:spacing w:val="-2"/>
                <w:lang w:val="en-US"/>
              </w:rPr>
              <w:t xml:space="preserve"> assets regardless their purpose of usage and  </w:t>
            </w:r>
            <w:r w:rsidR="00E865F9" w:rsidRPr="00A80737">
              <w:rPr>
                <w:spacing w:val="4"/>
                <w:lang w:val="en-US"/>
              </w:rPr>
              <w:t>balance or market cost</w:t>
            </w:r>
            <w:r w:rsidR="00BE7BE8" w:rsidRPr="00A80737">
              <w:rPr>
                <w:snapToGrid w:val="0"/>
                <w:spacing w:val="-2"/>
                <w:lang w:val="en-US"/>
              </w:rPr>
              <w:t>.</w:t>
            </w:r>
          </w:p>
          <w:p w:rsidR="00BE7BE8" w:rsidRPr="00A80737" w:rsidRDefault="00981EC3" w:rsidP="0060069B">
            <w:pPr>
              <w:tabs>
                <w:tab w:val="left" w:pos="1276"/>
              </w:tabs>
              <w:contextualSpacing/>
              <w:jc w:val="both"/>
              <w:rPr>
                <w:lang w:val="en-US"/>
              </w:rPr>
            </w:pPr>
            <w:r w:rsidRPr="00A80737">
              <w:rPr>
                <w:lang w:val="en-US"/>
              </w:rPr>
              <w:t xml:space="preserve">2. </w:t>
            </w:r>
            <w:r w:rsidR="00E865F9" w:rsidRPr="00A80737">
              <w:rPr>
                <w:lang w:val="en-US"/>
              </w:rPr>
              <w:t>To decided that the transactions related to alienation of fixed assets considered in accordance with legislation as immovable property, construction-in-progress facilities, that are not used for production, transmission, operational control, distribution of electric and heating energy are subject to approval by the BoD in accordance with Regulation on organisation of sale of non-core assets approved by the BoD on 20.11.2008 (minutes of meeting No.62/2008 dd 24.11.2008)</w:t>
            </w:r>
            <w:r w:rsidR="00BE7BE8" w:rsidRPr="00A80737">
              <w:rPr>
                <w:lang w:val="en-US"/>
              </w:rPr>
              <w:t xml:space="preserve">. </w:t>
            </w:r>
          </w:p>
          <w:p w:rsidR="00BE7BE8" w:rsidRPr="00A80737" w:rsidRDefault="00981EC3" w:rsidP="0060069B">
            <w:pPr>
              <w:tabs>
                <w:tab w:val="left" w:pos="1276"/>
              </w:tabs>
              <w:contextualSpacing/>
              <w:jc w:val="both"/>
              <w:rPr>
                <w:lang w:val="en-US"/>
              </w:rPr>
            </w:pPr>
            <w:r w:rsidRPr="00A80737">
              <w:rPr>
                <w:lang w:val="en-US"/>
              </w:rPr>
              <w:t xml:space="preserve">3. </w:t>
            </w:r>
            <w:r w:rsidR="00A60096" w:rsidRPr="00A80737">
              <w:rPr>
                <w:lang w:val="en-US"/>
              </w:rPr>
              <w:t xml:space="preserve">To instruct director general to </w:t>
            </w:r>
            <w:r w:rsidR="00A80737" w:rsidRPr="00A80737">
              <w:rPr>
                <w:lang w:val="en-US"/>
              </w:rPr>
              <w:t xml:space="preserve">submit for consideration to the BoD the report on transactions related to alienation of fixed assets </w:t>
            </w:r>
            <w:r w:rsidR="00A80737" w:rsidRPr="00A80737">
              <w:rPr>
                <w:lang w:val="en-US"/>
              </w:rPr>
              <w:t>considered in accordance with legislation as immovable property, construction-in-progress facilities, that are not used for production, transmission, operational control, distribution of electric and heating energy</w:t>
            </w:r>
            <w:r w:rsidR="00BE7BE8" w:rsidRPr="00A80737">
              <w:rPr>
                <w:spacing w:val="2"/>
                <w:lang w:val="en-US"/>
              </w:rPr>
              <w:t>,</w:t>
            </w:r>
            <w:r w:rsidR="00BE7BE8" w:rsidRPr="00A80737">
              <w:rPr>
                <w:snapToGrid w:val="0"/>
                <w:spacing w:val="-2"/>
                <w:lang w:val="en-US"/>
              </w:rPr>
              <w:t xml:space="preserve"> </w:t>
            </w:r>
            <w:r w:rsidR="00A80737" w:rsidRPr="00A80737">
              <w:rPr>
                <w:snapToGrid w:val="0"/>
                <w:spacing w:val="-2"/>
                <w:lang w:val="en-US"/>
              </w:rPr>
              <w:t xml:space="preserve">as well as shares of affiliated and dependent companies, which core activity does not include  </w:t>
            </w:r>
            <w:r w:rsidR="00A80737" w:rsidRPr="00A80737">
              <w:rPr>
                <w:lang w:val="en-US"/>
              </w:rPr>
              <w:t>production, transmission, operational control, distribution of electric and heating energy</w:t>
            </w:r>
            <w:r w:rsidR="00A80737" w:rsidRPr="00A80737">
              <w:rPr>
                <w:lang w:val="en-US"/>
              </w:rPr>
              <w:t xml:space="preserve"> </w:t>
            </w:r>
            <w:r w:rsidR="00BE7BE8" w:rsidRPr="00A80737">
              <w:rPr>
                <w:lang w:val="en-US"/>
              </w:rPr>
              <w:t>(</w:t>
            </w:r>
            <w:r w:rsidR="00A80737" w:rsidRPr="00A80737">
              <w:rPr>
                <w:lang w:val="en-US"/>
              </w:rPr>
              <w:t>report on selling non-core assets)</w:t>
            </w:r>
            <w:r w:rsidR="00BE7BE8" w:rsidRPr="00A80737">
              <w:rPr>
                <w:lang w:val="en-US"/>
              </w:rPr>
              <w:t>.</w:t>
            </w:r>
          </w:p>
          <w:p w:rsidR="0071069D" w:rsidRPr="00A80737" w:rsidRDefault="00981EC3" w:rsidP="0060069B">
            <w:pPr>
              <w:tabs>
                <w:tab w:val="left" w:pos="1276"/>
              </w:tabs>
              <w:jc w:val="both"/>
              <w:rPr>
                <w:b/>
                <w:i/>
                <w:sz w:val="22"/>
                <w:szCs w:val="22"/>
                <w:lang w:val="en-US"/>
              </w:rPr>
            </w:pPr>
            <w:r w:rsidRPr="00A80737">
              <w:rPr>
                <w:lang w:val="en-US"/>
              </w:rPr>
              <w:t xml:space="preserve">4. </w:t>
            </w:r>
            <w:r w:rsidR="00A80737" w:rsidRPr="00A80737">
              <w:rPr>
                <w:lang w:val="en-US"/>
              </w:rPr>
              <w:t>To consider as invalid paragraphs 1, 2, 3 of resolution taken by the BoD on 2 August 2013 (Minutes of meeting No.168/2013 dd 05.08.2013) on issue No. 27 “On determining the cases (amount) of transaction with Company’s property that are subject to preliminary approval by the Board of Directors”.</w:t>
            </w:r>
          </w:p>
        </w:tc>
      </w:tr>
      <w:tr w:rsidR="008D5552" w:rsidRPr="00A60096" w:rsidTr="008B313B">
        <w:tc>
          <w:tcPr>
            <w:tcW w:w="9782" w:type="dxa"/>
            <w:gridSpan w:val="2"/>
          </w:tcPr>
          <w:p w:rsidR="008D5552" w:rsidRPr="00DD04FE" w:rsidRDefault="008D5552"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b/>
                <w:sz w:val="24"/>
                <w:szCs w:val="24"/>
                <w:lang w:val="en-US"/>
              </w:rPr>
              <w:t>Disclosure of insider information on item No.</w:t>
            </w:r>
            <w:r w:rsidR="00BB07E3" w:rsidRPr="00DD04FE">
              <w:rPr>
                <w:rFonts w:ascii="Times New Roman" w:hAnsi="Times New Roman" w:cs="Times New Roman"/>
                <w:b/>
                <w:sz w:val="24"/>
                <w:szCs w:val="24"/>
                <w:lang w:val="en-US"/>
              </w:rPr>
              <w:t xml:space="preserve"> </w:t>
            </w:r>
            <w:r w:rsidRPr="00DD04FE">
              <w:rPr>
                <w:rFonts w:ascii="Times New Roman" w:hAnsi="Times New Roman" w:cs="Times New Roman"/>
                <w:b/>
                <w:sz w:val="24"/>
                <w:szCs w:val="24"/>
                <w:lang w:val="en-US"/>
              </w:rPr>
              <w:t>9 “</w:t>
            </w:r>
            <w:r w:rsidR="00BE7BE8" w:rsidRPr="00BE7BE8">
              <w:rPr>
                <w:rFonts w:ascii="Times New Roman" w:hAnsi="Times New Roman" w:cs="Times New Roman"/>
                <w:b/>
                <w:sz w:val="24"/>
                <w:lang w:val="en-US"/>
              </w:rPr>
              <w:t>On approving the agreement on the coordination and development of the regulatory and technical support to the electric grid between Rossetti JSC and its subsidiaries and affiliates, as interested party transaction</w:t>
            </w:r>
            <w:r w:rsidRPr="00DD04FE">
              <w:rPr>
                <w:rFonts w:ascii="Times New Roman" w:hAnsi="Times New Roman" w:cs="Times New Roman"/>
                <w:b/>
                <w:sz w:val="24"/>
                <w:szCs w:val="24"/>
                <w:lang w:val="en-US"/>
              </w:rPr>
              <w:t>”</w:t>
            </w:r>
          </w:p>
        </w:tc>
      </w:tr>
      <w:tr w:rsidR="008D5552" w:rsidRPr="00A60096" w:rsidTr="008B313B">
        <w:tc>
          <w:tcPr>
            <w:tcW w:w="9782" w:type="dxa"/>
            <w:gridSpan w:val="2"/>
          </w:tcPr>
          <w:p w:rsidR="008D5552" w:rsidRPr="00DD04FE" w:rsidRDefault="008D5552"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2.2.9.  Decision adopted by issuer’s Board of Directors:</w:t>
            </w:r>
          </w:p>
          <w:p w:rsidR="00DD04FE" w:rsidRDefault="00DD04FE" w:rsidP="0060069B">
            <w:pPr>
              <w:pStyle w:val="a3"/>
              <w:spacing w:before="60"/>
              <w:jc w:val="both"/>
              <w:rPr>
                <w:rFonts w:ascii="Times New Roman" w:hAnsi="Times New Roman" w:cs="Times New Roman"/>
                <w:sz w:val="24"/>
                <w:lang w:val="en-US"/>
              </w:rPr>
            </w:pPr>
            <w:r w:rsidRPr="00DD04FE">
              <w:rPr>
                <w:rFonts w:ascii="Times New Roman" w:hAnsi="Times New Roman" w:cs="Times New Roman"/>
                <w:sz w:val="24"/>
                <w:szCs w:val="24"/>
                <w:lang w:val="en-US"/>
              </w:rPr>
              <w:t xml:space="preserve">1. </w:t>
            </w:r>
            <w:r w:rsidR="00BE7BE8">
              <w:rPr>
                <w:rFonts w:ascii="Times New Roman" w:hAnsi="Times New Roman" w:cs="Times New Roman"/>
                <w:sz w:val="24"/>
                <w:szCs w:val="24"/>
                <w:lang w:val="en-US"/>
              </w:rPr>
              <w:t>To approve</w:t>
            </w:r>
            <w:r w:rsidR="00BE7BE8" w:rsidRPr="00BE7BE8">
              <w:rPr>
                <w:rFonts w:ascii="Times New Roman" w:hAnsi="Times New Roman" w:cs="Times New Roman"/>
                <w:b/>
                <w:sz w:val="24"/>
                <w:lang w:val="en-US"/>
              </w:rPr>
              <w:t xml:space="preserve"> </w:t>
            </w:r>
            <w:r w:rsidR="00BE7BE8" w:rsidRPr="00BE7BE8">
              <w:rPr>
                <w:rFonts w:ascii="Times New Roman" w:hAnsi="Times New Roman" w:cs="Times New Roman"/>
                <w:sz w:val="24"/>
                <w:lang w:val="en-US"/>
              </w:rPr>
              <w:t>the agreement on the coordination and development of the regulatory and technical support to the electric grid between Rossetti JSC and its subsidiaries and affiliates, as interested party transaction on the following conditions:</w:t>
            </w:r>
          </w:p>
          <w:p w:rsidR="00712EC7" w:rsidRDefault="00712EC7" w:rsidP="0060069B">
            <w:pPr>
              <w:pStyle w:val="a3"/>
              <w:spacing w:before="60"/>
              <w:jc w:val="both"/>
              <w:rPr>
                <w:rFonts w:ascii="Times New Roman" w:hAnsi="Times New Roman" w:cs="Times New Roman"/>
                <w:b/>
                <w:sz w:val="24"/>
                <w:lang w:val="en-US"/>
              </w:rPr>
            </w:pPr>
            <w:r>
              <w:rPr>
                <w:rFonts w:ascii="Times New Roman" w:hAnsi="Times New Roman" w:cs="Times New Roman"/>
                <w:b/>
                <w:sz w:val="24"/>
                <w:lang w:val="en-US"/>
              </w:rPr>
              <w:t>Parties:</w:t>
            </w:r>
          </w:p>
          <w:p w:rsidR="00712EC7" w:rsidRDefault="00712EC7"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“Rosseti” JSC;</w:t>
            </w:r>
          </w:p>
          <w:p w:rsidR="00712EC7" w:rsidRDefault="00712EC7"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“FGC UES” JSC;</w:t>
            </w:r>
          </w:p>
          <w:p w:rsidR="00712EC7" w:rsidRDefault="00BA7DAF"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“IDGC of the Centre” JSC;</w:t>
            </w:r>
          </w:p>
          <w:p w:rsidR="00BA7DAF" w:rsidRDefault="00BA7DAF"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“IDGC of the North-West” JSC;</w:t>
            </w:r>
          </w:p>
          <w:p w:rsidR="00BA7DAF" w:rsidRDefault="00BA7DAF"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“IDGC of the Centre and Volga region” JSC;</w:t>
            </w:r>
          </w:p>
          <w:p w:rsidR="00BA7DAF" w:rsidRDefault="00BA7DAF" w:rsidP="0060069B">
            <w:pPr>
              <w:pStyle w:val="a3"/>
              <w:spacing w:before="60"/>
              <w:jc w:val="both"/>
              <w:rPr>
                <w:rFonts w:ascii="Times New Roman" w:hAnsi="Times New Roman" w:cs="Times New Roman"/>
                <w:sz w:val="24"/>
                <w:lang w:val="en-US"/>
              </w:rPr>
            </w:pPr>
            <w:r w:rsidRPr="00AF51B0">
              <w:rPr>
                <w:rFonts w:ascii="Times New Roman" w:hAnsi="Times New Roman" w:cs="Times New Roman"/>
                <w:sz w:val="24"/>
                <w:lang w:val="en-US"/>
              </w:rPr>
              <w:t>“</w:t>
            </w:r>
            <w:r>
              <w:rPr>
                <w:rFonts w:ascii="Times New Roman" w:hAnsi="Times New Roman" w:cs="Times New Roman"/>
                <w:sz w:val="24"/>
                <w:lang w:val="en-US"/>
              </w:rPr>
              <w:t>IDGC</w:t>
            </w:r>
            <w:r w:rsidRPr="00AF51B0">
              <w:rPr>
                <w:rFonts w:ascii="Times New Roman" w:hAnsi="Times New Roman" w:cs="Times New Roman"/>
                <w:sz w:val="24"/>
                <w:lang w:val="en-US"/>
              </w:rPr>
              <w:t xml:space="preserve"> </w:t>
            </w:r>
            <w:r>
              <w:rPr>
                <w:rFonts w:ascii="Times New Roman" w:hAnsi="Times New Roman" w:cs="Times New Roman"/>
                <w:sz w:val="24"/>
                <w:lang w:val="en-US"/>
              </w:rPr>
              <w:t xml:space="preserve">of </w:t>
            </w:r>
            <w:r w:rsidR="00AF51B0">
              <w:rPr>
                <w:rFonts w:ascii="Times New Roman" w:hAnsi="Times New Roman" w:cs="Times New Roman"/>
                <w:sz w:val="24"/>
                <w:lang w:val="en-US"/>
              </w:rPr>
              <w:t xml:space="preserve">the </w:t>
            </w:r>
            <w:r>
              <w:rPr>
                <w:rFonts w:ascii="Times New Roman" w:hAnsi="Times New Roman" w:cs="Times New Roman"/>
                <w:sz w:val="24"/>
                <w:lang w:val="en-US"/>
              </w:rPr>
              <w:t>Volga</w:t>
            </w:r>
            <w:r w:rsidRPr="00AF51B0">
              <w:rPr>
                <w:rFonts w:ascii="Times New Roman" w:hAnsi="Times New Roman" w:cs="Times New Roman"/>
                <w:sz w:val="24"/>
                <w:lang w:val="en-US"/>
              </w:rPr>
              <w:t>”</w:t>
            </w:r>
            <w:r>
              <w:rPr>
                <w:rFonts w:ascii="Times New Roman" w:hAnsi="Times New Roman" w:cs="Times New Roman"/>
                <w:sz w:val="24"/>
                <w:lang w:val="en-US"/>
              </w:rPr>
              <w:t xml:space="preserve"> JSC;</w:t>
            </w:r>
          </w:p>
          <w:p w:rsidR="00BA7DAF" w:rsidRDefault="00BA7DAF"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“IDGC of Ural” JSC;</w:t>
            </w:r>
          </w:p>
          <w:p w:rsidR="00BA7DAF" w:rsidRDefault="00AF51B0"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lastRenderedPageBreak/>
              <w:t>“IDGC of Siberia” JSC;</w:t>
            </w:r>
          </w:p>
          <w:p w:rsidR="00AF51B0" w:rsidRDefault="00AF51B0"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“IDGC of the South” JSC;</w:t>
            </w:r>
          </w:p>
          <w:p w:rsidR="00AF51B0" w:rsidRDefault="00AF51B0"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“IDGC of the Northern Caucasus” JSC;</w:t>
            </w:r>
          </w:p>
          <w:p w:rsidR="00AF51B0" w:rsidRDefault="007F723F"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“Tyumenenergo” JSC;</w:t>
            </w:r>
          </w:p>
          <w:p w:rsidR="007F723F" w:rsidRDefault="007F723F"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“Lenenergo” JSC;</w:t>
            </w:r>
          </w:p>
          <w:p w:rsidR="007F723F" w:rsidRDefault="007F723F"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“MOESK” JSC;</w:t>
            </w:r>
          </w:p>
          <w:p w:rsidR="007F723F" w:rsidRDefault="00D97217"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“Yantarenergo” JSC;</w:t>
            </w:r>
          </w:p>
          <w:p w:rsidR="00D97217" w:rsidRDefault="00D97217" w:rsidP="0060069B">
            <w:pPr>
              <w:pStyle w:val="a3"/>
              <w:spacing w:before="60"/>
              <w:jc w:val="both"/>
              <w:rPr>
                <w:rFonts w:ascii="Times New Roman" w:hAnsi="Times New Roman" w:cs="Times New Roman"/>
                <w:sz w:val="24"/>
                <w:lang w:val="en-US"/>
              </w:rPr>
            </w:pPr>
            <w:r>
              <w:rPr>
                <w:rFonts w:ascii="Times New Roman" w:hAnsi="Times New Roman" w:cs="Times New Roman"/>
                <w:sz w:val="24"/>
                <w:lang w:val="en-US"/>
              </w:rPr>
              <w:t>“TRK” JSC.</w:t>
            </w:r>
          </w:p>
          <w:p w:rsidR="00D97217" w:rsidRPr="00D97217" w:rsidRDefault="00D97217" w:rsidP="0060069B">
            <w:pPr>
              <w:pStyle w:val="a3"/>
              <w:spacing w:before="60"/>
              <w:jc w:val="both"/>
              <w:rPr>
                <w:rFonts w:ascii="Times New Roman" w:hAnsi="Times New Roman" w:cs="Times New Roman"/>
                <w:b/>
                <w:sz w:val="24"/>
                <w:lang w:val="en-US"/>
              </w:rPr>
            </w:pPr>
            <w:r w:rsidRPr="00D97217">
              <w:rPr>
                <w:rFonts w:ascii="Times New Roman" w:hAnsi="Times New Roman" w:cs="Times New Roman"/>
                <w:b/>
                <w:sz w:val="24"/>
                <w:lang w:val="en-US"/>
              </w:rPr>
              <w:t>Subject of Agreement:</w:t>
            </w:r>
          </w:p>
          <w:p w:rsidR="00D97217" w:rsidRDefault="00EF6679" w:rsidP="0060069B">
            <w:pPr>
              <w:pStyle w:val="a3"/>
              <w:spacing w:before="60"/>
              <w:jc w:val="both"/>
              <w:rPr>
                <w:rFonts w:ascii="Times New Roman" w:hAnsi="Times New Roman" w:cs="Times New Roman"/>
                <w:sz w:val="24"/>
                <w:lang w:val="en-US"/>
              </w:rPr>
            </w:pPr>
            <w:r w:rsidRPr="00EF6679">
              <w:rPr>
                <w:rFonts w:ascii="Times New Roman" w:hAnsi="Times New Roman" w:cs="Times New Roman"/>
                <w:sz w:val="24"/>
                <w:lang w:val="en-US"/>
              </w:rPr>
              <w:t xml:space="preserve">In order to develop common approaches to the management and development of the </w:t>
            </w:r>
            <w:r>
              <w:rPr>
                <w:rFonts w:ascii="Times New Roman" w:hAnsi="Times New Roman" w:cs="Times New Roman"/>
                <w:sz w:val="24"/>
                <w:lang w:val="en-US"/>
              </w:rPr>
              <w:t>technical society system the</w:t>
            </w:r>
            <w:r w:rsidRPr="00EF6679">
              <w:rPr>
                <w:rFonts w:ascii="Times New Roman" w:hAnsi="Times New Roman" w:cs="Times New Roman"/>
                <w:sz w:val="24"/>
                <w:lang w:val="en-US"/>
              </w:rPr>
              <w:t xml:space="preserve"> Parties have agreed </w:t>
            </w:r>
            <w:r>
              <w:rPr>
                <w:rFonts w:ascii="Times New Roman" w:hAnsi="Times New Roman" w:cs="Times New Roman"/>
                <w:sz w:val="24"/>
                <w:lang w:val="en-US"/>
              </w:rPr>
              <w:t>the following terms:</w:t>
            </w:r>
          </w:p>
          <w:p w:rsidR="00E225A2" w:rsidRDefault="00E225A2" w:rsidP="0060069B">
            <w:pPr>
              <w:ind w:right="-142"/>
              <w:contextualSpacing/>
              <w:jc w:val="both"/>
              <w:rPr>
                <w:rFonts w:eastAsiaTheme="minorHAnsi"/>
                <w:szCs w:val="22"/>
                <w:lang w:val="en-US" w:eastAsia="en-US"/>
              </w:rPr>
            </w:pPr>
            <w:r w:rsidRPr="00E225A2">
              <w:rPr>
                <w:rFonts w:eastAsiaTheme="minorHAnsi"/>
                <w:szCs w:val="22"/>
                <w:lang w:val="en-US" w:eastAsia="en-US"/>
              </w:rPr>
              <w:t xml:space="preserve">In order to </w:t>
            </w:r>
            <w:r w:rsidR="007E1625">
              <w:rPr>
                <w:rFonts w:eastAsiaTheme="minorHAnsi"/>
                <w:szCs w:val="22"/>
                <w:lang w:val="en-US" w:eastAsia="en-US"/>
              </w:rPr>
              <w:t xml:space="preserve">provide </w:t>
            </w:r>
            <w:r w:rsidRPr="00E225A2">
              <w:rPr>
                <w:rFonts w:eastAsiaTheme="minorHAnsi"/>
                <w:szCs w:val="22"/>
                <w:lang w:val="en-US" w:eastAsia="en-US"/>
              </w:rPr>
              <w:t>reliable and efficient functioning of transmission and distribution grid</w:t>
            </w:r>
            <w:r>
              <w:rPr>
                <w:rFonts w:eastAsiaTheme="minorHAnsi"/>
                <w:szCs w:val="22"/>
                <w:lang w:val="en-US" w:eastAsia="en-US"/>
              </w:rPr>
              <w:t>s of</w:t>
            </w:r>
            <w:r w:rsidRPr="00E225A2">
              <w:rPr>
                <w:rFonts w:eastAsiaTheme="minorHAnsi"/>
                <w:szCs w:val="22"/>
                <w:lang w:val="en-US" w:eastAsia="en-US"/>
              </w:rPr>
              <w:t xml:space="preserve"> </w:t>
            </w:r>
            <w:r>
              <w:rPr>
                <w:rFonts w:eastAsiaTheme="minorHAnsi"/>
                <w:szCs w:val="22"/>
                <w:lang w:val="en-US" w:eastAsia="en-US"/>
              </w:rPr>
              <w:t xml:space="preserve">the power grid </w:t>
            </w:r>
            <w:r w:rsidRPr="00E225A2">
              <w:rPr>
                <w:rFonts w:eastAsiaTheme="minorHAnsi"/>
                <w:szCs w:val="22"/>
                <w:lang w:val="en-US" w:eastAsia="en-US"/>
              </w:rPr>
              <w:t>complex of the Russian Federation</w:t>
            </w:r>
            <w:r>
              <w:rPr>
                <w:rFonts w:eastAsiaTheme="minorHAnsi"/>
                <w:szCs w:val="22"/>
                <w:lang w:val="en-US" w:eastAsia="en-US"/>
              </w:rPr>
              <w:t>, t</w:t>
            </w:r>
            <w:r w:rsidRPr="00E225A2">
              <w:rPr>
                <w:rFonts w:eastAsiaTheme="minorHAnsi"/>
                <w:szCs w:val="22"/>
                <w:lang w:val="en-US" w:eastAsia="en-US"/>
              </w:rPr>
              <w:t xml:space="preserve">he </w:t>
            </w:r>
            <w:r>
              <w:rPr>
                <w:rFonts w:eastAsiaTheme="minorHAnsi"/>
                <w:szCs w:val="22"/>
                <w:lang w:val="en-US" w:eastAsia="en-US"/>
              </w:rPr>
              <w:t>P</w:t>
            </w:r>
            <w:r w:rsidRPr="00E225A2">
              <w:rPr>
                <w:rFonts w:eastAsiaTheme="minorHAnsi"/>
                <w:szCs w:val="22"/>
                <w:lang w:val="en-US" w:eastAsia="en-US"/>
              </w:rPr>
              <w:t xml:space="preserve">arties consider it </w:t>
            </w:r>
            <w:r>
              <w:rPr>
                <w:rFonts w:eastAsiaTheme="minorHAnsi"/>
                <w:szCs w:val="22"/>
                <w:lang w:val="en-US" w:eastAsia="en-US"/>
              </w:rPr>
              <w:t xml:space="preserve">is </w:t>
            </w:r>
            <w:r w:rsidRPr="00E225A2">
              <w:rPr>
                <w:rFonts w:eastAsiaTheme="minorHAnsi"/>
                <w:szCs w:val="22"/>
                <w:lang w:val="en-US" w:eastAsia="en-US"/>
              </w:rPr>
              <w:t xml:space="preserve">necessary to introduce a system of coordination of </w:t>
            </w:r>
            <w:r w:rsidR="007E1625">
              <w:rPr>
                <w:rFonts w:eastAsiaTheme="minorHAnsi"/>
                <w:szCs w:val="22"/>
                <w:lang w:val="en-US" w:eastAsia="en-US"/>
              </w:rPr>
              <w:t xml:space="preserve">development of </w:t>
            </w:r>
            <w:r>
              <w:rPr>
                <w:rFonts w:eastAsiaTheme="minorHAnsi"/>
                <w:szCs w:val="22"/>
                <w:lang w:val="en-US" w:eastAsia="en-US"/>
              </w:rPr>
              <w:t>technical society system.</w:t>
            </w:r>
          </w:p>
          <w:p w:rsidR="007E1625" w:rsidRPr="007E1625" w:rsidRDefault="007E1625" w:rsidP="0060069B">
            <w:pPr>
              <w:ind w:right="-142"/>
              <w:contextualSpacing/>
              <w:jc w:val="both"/>
              <w:rPr>
                <w:rFonts w:eastAsiaTheme="minorHAnsi"/>
                <w:szCs w:val="22"/>
                <w:lang w:val="en-US" w:eastAsia="en-US"/>
              </w:rPr>
            </w:pPr>
            <w:r w:rsidRPr="007E1625">
              <w:rPr>
                <w:rFonts w:eastAsiaTheme="minorHAnsi"/>
                <w:szCs w:val="22"/>
                <w:lang w:val="en-US" w:eastAsia="en-US"/>
              </w:rPr>
              <w:t xml:space="preserve">Coordination </w:t>
            </w:r>
            <w:r>
              <w:rPr>
                <w:rFonts w:eastAsiaTheme="minorHAnsi"/>
                <w:szCs w:val="22"/>
                <w:lang w:val="en-US" w:eastAsia="en-US"/>
              </w:rPr>
              <w:t>should</w:t>
            </w:r>
            <w:r w:rsidRPr="007E1625">
              <w:rPr>
                <w:rFonts w:eastAsiaTheme="minorHAnsi"/>
                <w:szCs w:val="22"/>
                <w:lang w:val="en-US" w:eastAsia="en-US"/>
              </w:rPr>
              <w:t xml:space="preserve"> be provided </w:t>
            </w:r>
            <w:r>
              <w:rPr>
                <w:rFonts w:eastAsiaTheme="minorHAnsi"/>
                <w:szCs w:val="22"/>
                <w:lang w:val="en-US" w:eastAsia="en-US"/>
              </w:rPr>
              <w:t>by</w:t>
            </w:r>
            <w:r w:rsidRPr="007E1625">
              <w:rPr>
                <w:rFonts w:eastAsiaTheme="minorHAnsi"/>
                <w:szCs w:val="22"/>
                <w:lang w:val="en-US" w:eastAsia="en-US"/>
              </w:rPr>
              <w:t xml:space="preserve"> synchroniz</w:t>
            </w:r>
            <w:r>
              <w:rPr>
                <w:rFonts w:eastAsiaTheme="minorHAnsi"/>
                <w:szCs w:val="22"/>
                <w:lang w:val="en-US" w:eastAsia="en-US"/>
              </w:rPr>
              <w:t>ation of work</w:t>
            </w:r>
            <w:r w:rsidRPr="007E1625">
              <w:rPr>
                <w:rFonts w:eastAsiaTheme="minorHAnsi"/>
                <w:szCs w:val="22"/>
                <w:lang w:val="en-US" w:eastAsia="en-US"/>
              </w:rPr>
              <w:t xml:space="preserve"> and review of regulatory and technical documents in the field of technical regulation and standardization (hereinafter NTD), as well as the expansion of the practice of in-depth examination of NTD.</w:t>
            </w:r>
          </w:p>
          <w:p w:rsidR="007E1625" w:rsidRPr="007E1625" w:rsidRDefault="007E1625" w:rsidP="0060069B">
            <w:pPr>
              <w:ind w:right="-142"/>
              <w:contextualSpacing/>
              <w:jc w:val="both"/>
              <w:rPr>
                <w:rFonts w:eastAsiaTheme="minorHAnsi"/>
                <w:szCs w:val="22"/>
                <w:lang w:val="en-US" w:eastAsia="en-US"/>
              </w:rPr>
            </w:pPr>
            <w:r w:rsidRPr="007E1625">
              <w:rPr>
                <w:rFonts w:eastAsiaTheme="minorHAnsi"/>
                <w:szCs w:val="22"/>
                <w:lang w:val="en-US" w:eastAsia="en-US"/>
              </w:rPr>
              <w:t xml:space="preserve">The agreement </w:t>
            </w:r>
            <w:r>
              <w:rPr>
                <w:rFonts w:eastAsiaTheme="minorHAnsi"/>
                <w:szCs w:val="22"/>
                <w:lang w:val="en-US" w:eastAsia="en-US"/>
              </w:rPr>
              <w:t xml:space="preserve">is not applied </w:t>
            </w:r>
            <w:r w:rsidRPr="007E1625">
              <w:rPr>
                <w:rFonts w:eastAsiaTheme="minorHAnsi"/>
                <w:szCs w:val="22"/>
                <w:lang w:val="en-US" w:eastAsia="en-US"/>
              </w:rPr>
              <w:t>to regulations, instructions, program</w:t>
            </w:r>
            <w:r>
              <w:rPr>
                <w:rFonts w:eastAsiaTheme="minorHAnsi"/>
                <w:szCs w:val="22"/>
                <w:lang w:val="en-US" w:eastAsia="en-US"/>
              </w:rPr>
              <w:t>me</w:t>
            </w:r>
            <w:r w:rsidRPr="007E1625">
              <w:rPr>
                <w:rFonts w:eastAsiaTheme="minorHAnsi"/>
                <w:szCs w:val="22"/>
                <w:lang w:val="en-US" w:eastAsia="en-US"/>
              </w:rPr>
              <w:t xml:space="preserve">s and other documents defining the order of technological interaction </w:t>
            </w:r>
            <w:r>
              <w:rPr>
                <w:rFonts w:eastAsiaTheme="minorHAnsi"/>
                <w:szCs w:val="22"/>
                <w:lang w:val="en-US" w:eastAsia="en-US"/>
              </w:rPr>
              <w:t xml:space="preserve">of </w:t>
            </w:r>
            <w:r w:rsidRPr="007E1625">
              <w:rPr>
                <w:rFonts w:eastAsiaTheme="minorHAnsi"/>
                <w:szCs w:val="22"/>
                <w:lang w:val="en-US" w:eastAsia="en-US"/>
              </w:rPr>
              <w:t>subsidiar</w:t>
            </w:r>
            <w:r>
              <w:rPr>
                <w:rFonts w:eastAsiaTheme="minorHAnsi"/>
                <w:szCs w:val="22"/>
                <w:lang w:val="en-US" w:eastAsia="en-US"/>
              </w:rPr>
              <w:t>ies</w:t>
            </w:r>
            <w:r w:rsidRPr="007E1625">
              <w:rPr>
                <w:rFonts w:eastAsiaTheme="minorHAnsi"/>
                <w:szCs w:val="22"/>
                <w:lang w:val="en-US" w:eastAsia="en-US"/>
              </w:rPr>
              <w:t xml:space="preserve"> of </w:t>
            </w:r>
            <w:r>
              <w:rPr>
                <w:rFonts w:eastAsiaTheme="minorHAnsi"/>
                <w:szCs w:val="22"/>
                <w:lang w:val="en-US" w:eastAsia="en-US"/>
              </w:rPr>
              <w:t>“</w:t>
            </w:r>
            <w:r w:rsidRPr="007E1625">
              <w:rPr>
                <w:rFonts w:eastAsiaTheme="minorHAnsi"/>
                <w:szCs w:val="22"/>
                <w:lang w:val="en-US" w:eastAsia="en-US"/>
              </w:rPr>
              <w:t>Rossetti</w:t>
            </w:r>
            <w:r>
              <w:rPr>
                <w:rFonts w:eastAsiaTheme="minorHAnsi"/>
                <w:szCs w:val="22"/>
                <w:lang w:val="en-US" w:eastAsia="en-US"/>
              </w:rPr>
              <w:t>” JSC</w:t>
            </w:r>
            <w:r w:rsidRPr="007E1625">
              <w:rPr>
                <w:rFonts w:eastAsiaTheme="minorHAnsi"/>
                <w:szCs w:val="22"/>
                <w:lang w:val="en-US" w:eastAsia="en-US"/>
              </w:rPr>
              <w:t xml:space="preserve"> (their branches) with </w:t>
            </w:r>
            <w:r>
              <w:rPr>
                <w:rFonts w:eastAsiaTheme="minorHAnsi"/>
                <w:szCs w:val="22"/>
                <w:lang w:val="en-US" w:eastAsia="en-US"/>
              </w:rPr>
              <w:t>System Operator UES JSC</w:t>
            </w:r>
            <w:r w:rsidRPr="007E1625">
              <w:rPr>
                <w:rFonts w:eastAsiaTheme="minorHAnsi"/>
                <w:szCs w:val="22"/>
                <w:lang w:val="en-US" w:eastAsia="en-US"/>
              </w:rPr>
              <w:t xml:space="preserve"> (its control centers), the </w:t>
            </w:r>
            <w:r w:rsidR="008128B9">
              <w:rPr>
                <w:rFonts w:eastAsiaTheme="minorHAnsi"/>
                <w:szCs w:val="22"/>
                <w:lang w:val="en-US" w:eastAsia="en-US"/>
              </w:rPr>
              <w:t>necessity of</w:t>
            </w:r>
            <w:r w:rsidRPr="007E1625">
              <w:rPr>
                <w:rFonts w:eastAsiaTheme="minorHAnsi"/>
                <w:szCs w:val="22"/>
                <w:lang w:val="en-US" w:eastAsia="en-US"/>
              </w:rPr>
              <w:t xml:space="preserve"> development, application and enforcement of </w:t>
            </w:r>
            <w:r w:rsidR="008128B9">
              <w:rPr>
                <w:rFonts w:eastAsiaTheme="minorHAnsi"/>
                <w:szCs w:val="22"/>
                <w:lang w:val="en-US" w:eastAsia="en-US"/>
              </w:rPr>
              <w:t>which is stipulated</w:t>
            </w:r>
            <w:r w:rsidRPr="007E1625">
              <w:rPr>
                <w:rFonts w:eastAsiaTheme="minorHAnsi"/>
                <w:szCs w:val="22"/>
                <w:lang w:val="en-US" w:eastAsia="en-US"/>
              </w:rPr>
              <w:t xml:space="preserve"> by the current legal acts, agreements between </w:t>
            </w:r>
            <w:r w:rsidR="008128B9">
              <w:rPr>
                <w:rFonts w:eastAsiaTheme="minorHAnsi"/>
                <w:szCs w:val="22"/>
                <w:lang w:val="en-US" w:eastAsia="en-US"/>
              </w:rPr>
              <w:t xml:space="preserve">System Operator UES JSC </w:t>
            </w:r>
            <w:r w:rsidRPr="007E1625">
              <w:rPr>
                <w:rFonts w:eastAsiaTheme="minorHAnsi"/>
                <w:szCs w:val="22"/>
                <w:lang w:val="en-US" w:eastAsia="en-US"/>
              </w:rPr>
              <w:t xml:space="preserve">and </w:t>
            </w:r>
            <w:r w:rsidR="008128B9">
              <w:rPr>
                <w:rFonts w:eastAsiaTheme="minorHAnsi"/>
                <w:szCs w:val="22"/>
                <w:lang w:val="en-US" w:eastAsia="en-US"/>
              </w:rPr>
              <w:t>Federal Grid Company</w:t>
            </w:r>
            <w:r w:rsidRPr="007E1625">
              <w:rPr>
                <w:rFonts w:eastAsiaTheme="minorHAnsi"/>
                <w:szCs w:val="22"/>
                <w:lang w:val="en-US" w:eastAsia="en-US"/>
              </w:rPr>
              <w:t xml:space="preserve">, agreements on technological cooperation between </w:t>
            </w:r>
            <w:r w:rsidR="008128B9">
              <w:rPr>
                <w:rFonts w:eastAsiaTheme="minorHAnsi"/>
                <w:szCs w:val="22"/>
                <w:lang w:val="en-US" w:eastAsia="en-US"/>
              </w:rPr>
              <w:t xml:space="preserve">System Operator UES JSC </w:t>
            </w:r>
            <w:r w:rsidR="008128B9" w:rsidRPr="007E1625">
              <w:rPr>
                <w:rFonts w:eastAsiaTheme="minorHAnsi"/>
                <w:szCs w:val="22"/>
                <w:lang w:val="en-US" w:eastAsia="en-US"/>
              </w:rPr>
              <w:t>and</w:t>
            </w:r>
            <w:r w:rsidR="008128B9" w:rsidRPr="007E1625">
              <w:rPr>
                <w:rFonts w:eastAsiaTheme="minorHAnsi"/>
                <w:szCs w:val="22"/>
                <w:lang w:val="en-US" w:eastAsia="en-US"/>
              </w:rPr>
              <w:t xml:space="preserve"> </w:t>
            </w:r>
            <w:r w:rsidR="008128B9">
              <w:rPr>
                <w:rFonts w:eastAsiaTheme="minorHAnsi"/>
                <w:szCs w:val="22"/>
                <w:lang w:val="en-US" w:eastAsia="en-US"/>
              </w:rPr>
              <w:t>affiliates of “Rosseti” JSC</w:t>
            </w:r>
            <w:r w:rsidRPr="007E1625">
              <w:rPr>
                <w:rFonts w:eastAsiaTheme="minorHAnsi"/>
                <w:szCs w:val="22"/>
                <w:lang w:val="en-US" w:eastAsia="en-US"/>
              </w:rPr>
              <w:t xml:space="preserve"> in order to ensure the reliability of the UES of Russia or other documents signed between </w:t>
            </w:r>
            <w:r w:rsidR="008128B9">
              <w:rPr>
                <w:rFonts w:eastAsiaTheme="minorHAnsi"/>
                <w:szCs w:val="22"/>
                <w:lang w:val="en-US" w:eastAsia="en-US"/>
              </w:rPr>
              <w:t xml:space="preserve">System Operator UES JSC </w:t>
            </w:r>
            <w:r w:rsidR="008128B9">
              <w:rPr>
                <w:rFonts w:eastAsiaTheme="minorHAnsi"/>
                <w:szCs w:val="22"/>
                <w:lang w:val="en-US" w:eastAsia="en-US"/>
              </w:rPr>
              <w:t>(</w:t>
            </w:r>
            <w:r w:rsidRPr="007E1625">
              <w:rPr>
                <w:rFonts w:eastAsiaTheme="minorHAnsi"/>
                <w:szCs w:val="22"/>
                <w:lang w:val="en-US" w:eastAsia="en-US"/>
              </w:rPr>
              <w:t xml:space="preserve">its subsidiaries) and </w:t>
            </w:r>
            <w:r w:rsidR="008128B9">
              <w:rPr>
                <w:rFonts w:eastAsiaTheme="minorHAnsi"/>
                <w:szCs w:val="22"/>
                <w:lang w:val="en-US" w:eastAsia="en-US"/>
              </w:rPr>
              <w:t>affiliates of “Rosseti” JSC</w:t>
            </w:r>
            <w:r w:rsidR="008128B9" w:rsidRPr="007E1625">
              <w:rPr>
                <w:rFonts w:eastAsiaTheme="minorHAnsi"/>
                <w:szCs w:val="22"/>
                <w:lang w:val="en-US" w:eastAsia="en-US"/>
              </w:rPr>
              <w:t xml:space="preserve"> </w:t>
            </w:r>
            <w:r w:rsidR="008128B9">
              <w:rPr>
                <w:rFonts w:eastAsiaTheme="minorHAnsi"/>
                <w:szCs w:val="22"/>
                <w:lang w:val="en-US" w:eastAsia="en-US"/>
              </w:rPr>
              <w:t xml:space="preserve">before </w:t>
            </w:r>
            <w:r w:rsidRPr="007E1625">
              <w:rPr>
                <w:rFonts w:eastAsiaTheme="minorHAnsi"/>
                <w:szCs w:val="22"/>
                <w:lang w:val="en-US" w:eastAsia="en-US"/>
              </w:rPr>
              <w:t xml:space="preserve">the agreement. Parties deem it necessary to create the Unified Register of NTD, which </w:t>
            </w:r>
            <w:r w:rsidR="008128B9">
              <w:rPr>
                <w:rFonts w:eastAsiaTheme="minorHAnsi"/>
                <w:szCs w:val="22"/>
                <w:lang w:val="en-US" w:eastAsia="en-US"/>
              </w:rPr>
              <w:t xml:space="preserve">shall </w:t>
            </w:r>
            <w:r w:rsidRPr="007E1625">
              <w:rPr>
                <w:rFonts w:eastAsiaTheme="minorHAnsi"/>
                <w:szCs w:val="22"/>
                <w:lang w:val="en-US" w:eastAsia="en-US"/>
              </w:rPr>
              <w:t xml:space="preserve">include </w:t>
            </w:r>
            <w:proofErr w:type="gramStart"/>
            <w:r w:rsidRPr="007E1625">
              <w:rPr>
                <w:rFonts w:eastAsiaTheme="minorHAnsi"/>
                <w:szCs w:val="22"/>
                <w:lang w:val="en-US" w:eastAsia="en-US"/>
              </w:rPr>
              <w:t>documents</w:t>
            </w:r>
            <w:proofErr w:type="gramEnd"/>
            <w:r w:rsidRPr="007E1625">
              <w:rPr>
                <w:rFonts w:eastAsiaTheme="minorHAnsi"/>
                <w:szCs w:val="22"/>
                <w:lang w:val="en-US" w:eastAsia="en-US"/>
              </w:rPr>
              <w:t xml:space="preserve"> </w:t>
            </w:r>
            <w:r w:rsidR="008128B9">
              <w:rPr>
                <w:rFonts w:eastAsiaTheme="minorHAnsi"/>
                <w:szCs w:val="22"/>
                <w:lang w:val="en-US" w:eastAsia="en-US"/>
              </w:rPr>
              <w:t>prepared</w:t>
            </w:r>
            <w:r w:rsidRPr="007E1625">
              <w:rPr>
                <w:rFonts w:eastAsiaTheme="minorHAnsi"/>
                <w:szCs w:val="22"/>
                <w:lang w:val="en-US" w:eastAsia="en-US"/>
              </w:rPr>
              <w:t xml:space="preserve"> by each of the Parties, and in consultation with third parties - developed by third parties such documents in the field of technical regulation.</w:t>
            </w:r>
          </w:p>
          <w:p w:rsidR="007E1625" w:rsidRPr="007E1625" w:rsidRDefault="007E1625" w:rsidP="0060069B">
            <w:pPr>
              <w:ind w:right="-142"/>
              <w:contextualSpacing/>
              <w:jc w:val="both"/>
              <w:rPr>
                <w:rFonts w:eastAsiaTheme="minorHAnsi"/>
                <w:szCs w:val="22"/>
                <w:lang w:val="en-US" w:eastAsia="en-US"/>
              </w:rPr>
            </w:pPr>
            <w:r w:rsidRPr="007E1625">
              <w:rPr>
                <w:rFonts w:eastAsiaTheme="minorHAnsi"/>
                <w:szCs w:val="22"/>
                <w:lang w:val="en-US" w:eastAsia="en-US"/>
              </w:rPr>
              <w:t xml:space="preserve">NTD requirements included in the Unified Register of NTD shall be accounted for by each Party according to the area of their distribution in the exercise of its industrial and </w:t>
            </w:r>
            <w:proofErr w:type="gramStart"/>
            <w:r w:rsidRPr="007E1625">
              <w:rPr>
                <w:rFonts w:eastAsiaTheme="minorHAnsi"/>
                <w:szCs w:val="22"/>
                <w:lang w:val="en-US" w:eastAsia="en-US"/>
              </w:rPr>
              <w:t xml:space="preserve">economic </w:t>
            </w:r>
            <w:r w:rsidR="008128B9">
              <w:rPr>
                <w:rFonts w:eastAsiaTheme="minorHAnsi"/>
                <w:szCs w:val="22"/>
                <w:lang w:val="en-US" w:eastAsia="en-US"/>
              </w:rPr>
              <w:t xml:space="preserve"> a</w:t>
            </w:r>
            <w:r w:rsidRPr="007E1625">
              <w:rPr>
                <w:rFonts w:eastAsiaTheme="minorHAnsi"/>
                <w:szCs w:val="22"/>
                <w:lang w:val="en-US" w:eastAsia="en-US"/>
              </w:rPr>
              <w:t>ctivities</w:t>
            </w:r>
            <w:proofErr w:type="gramEnd"/>
            <w:r w:rsidRPr="007E1625">
              <w:rPr>
                <w:rFonts w:eastAsiaTheme="minorHAnsi"/>
                <w:szCs w:val="22"/>
                <w:lang w:val="en-US" w:eastAsia="en-US"/>
              </w:rPr>
              <w:t>, except for the provisions of the Tax and Customs Board</w:t>
            </w:r>
            <w:r w:rsidR="008128B9">
              <w:rPr>
                <w:rFonts w:eastAsiaTheme="minorHAnsi"/>
                <w:szCs w:val="22"/>
                <w:lang w:val="en-US" w:eastAsia="en-US"/>
              </w:rPr>
              <w:t xml:space="preserve"> that contradict with </w:t>
            </w:r>
            <w:r w:rsidRPr="007E1625">
              <w:rPr>
                <w:rFonts w:eastAsiaTheme="minorHAnsi"/>
                <w:szCs w:val="22"/>
                <w:lang w:val="en-US" w:eastAsia="en-US"/>
              </w:rPr>
              <w:t xml:space="preserve"> federal, state or local law.</w:t>
            </w:r>
          </w:p>
          <w:p w:rsidR="007E1625" w:rsidRPr="007E1625" w:rsidRDefault="007E1625" w:rsidP="0060069B">
            <w:pPr>
              <w:ind w:right="-142"/>
              <w:contextualSpacing/>
              <w:jc w:val="both"/>
              <w:rPr>
                <w:rFonts w:eastAsiaTheme="minorHAnsi"/>
                <w:szCs w:val="22"/>
                <w:lang w:val="en-US" w:eastAsia="en-US"/>
              </w:rPr>
            </w:pPr>
            <w:r w:rsidRPr="007E1625">
              <w:rPr>
                <w:rFonts w:eastAsiaTheme="minorHAnsi"/>
                <w:szCs w:val="22"/>
                <w:lang w:val="en-US" w:eastAsia="en-US"/>
              </w:rPr>
              <w:t xml:space="preserve">To ensure coordination and effective cooperation the parties consider it necessary to establish the Coordinating Council for the Development of </w:t>
            </w:r>
            <w:r w:rsidR="008128B9">
              <w:rPr>
                <w:rFonts w:eastAsiaTheme="minorHAnsi"/>
                <w:szCs w:val="22"/>
                <w:lang w:val="en-US" w:eastAsia="en-US"/>
              </w:rPr>
              <w:t>technical society system</w:t>
            </w:r>
            <w:r w:rsidRPr="007E1625">
              <w:rPr>
                <w:rFonts w:eastAsiaTheme="minorHAnsi"/>
                <w:szCs w:val="22"/>
                <w:lang w:val="en-US" w:eastAsia="en-US"/>
              </w:rPr>
              <w:t>.</w:t>
            </w:r>
          </w:p>
          <w:p w:rsidR="007E1625" w:rsidRPr="007E1625" w:rsidRDefault="007E1625" w:rsidP="0060069B">
            <w:pPr>
              <w:ind w:right="-142" w:firstLine="851"/>
              <w:contextualSpacing/>
              <w:jc w:val="both"/>
              <w:rPr>
                <w:rFonts w:eastAsiaTheme="minorHAnsi"/>
                <w:szCs w:val="22"/>
                <w:lang w:val="en-US" w:eastAsia="en-US"/>
              </w:rPr>
            </w:pPr>
            <w:r w:rsidRPr="007E1625">
              <w:rPr>
                <w:rFonts w:eastAsiaTheme="minorHAnsi"/>
                <w:szCs w:val="22"/>
                <w:lang w:val="en-US" w:eastAsia="en-US"/>
              </w:rPr>
              <w:t>Duration of the agreement:</w:t>
            </w:r>
          </w:p>
          <w:p w:rsidR="007E1625" w:rsidRPr="007E1625" w:rsidRDefault="007E1625" w:rsidP="0060069B">
            <w:pPr>
              <w:ind w:right="-142"/>
              <w:contextualSpacing/>
              <w:jc w:val="both"/>
              <w:rPr>
                <w:rFonts w:eastAsiaTheme="minorHAnsi"/>
                <w:szCs w:val="22"/>
                <w:lang w:val="en-US" w:eastAsia="en-US"/>
              </w:rPr>
            </w:pPr>
            <w:r w:rsidRPr="007E1625">
              <w:rPr>
                <w:rFonts w:eastAsiaTheme="minorHAnsi"/>
                <w:szCs w:val="22"/>
                <w:lang w:val="en-US" w:eastAsia="en-US"/>
              </w:rPr>
              <w:t xml:space="preserve">Agreement </w:t>
            </w:r>
            <w:r w:rsidR="008128B9">
              <w:rPr>
                <w:rFonts w:eastAsiaTheme="minorHAnsi"/>
                <w:szCs w:val="22"/>
                <w:lang w:val="en-US" w:eastAsia="en-US"/>
              </w:rPr>
              <w:t>comes</w:t>
            </w:r>
            <w:r w:rsidRPr="007E1625">
              <w:rPr>
                <w:rFonts w:eastAsiaTheme="minorHAnsi"/>
                <w:szCs w:val="22"/>
                <w:lang w:val="en-US" w:eastAsia="en-US"/>
              </w:rPr>
              <w:t xml:space="preserve"> into effect </w:t>
            </w:r>
            <w:r w:rsidR="008128B9">
              <w:rPr>
                <w:rFonts w:eastAsiaTheme="minorHAnsi"/>
                <w:szCs w:val="22"/>
                <w:lang w:val="en-US" w:eastAsia="en-US"/>
              </w:rPr>
              <w:t>upon the signature</w:t>
            </w:r>
            <w:r w:rsidRPr="007E1625">
              <w:rPr>
                <w:rFonts w:eastAsiaTheme="minorHAnsi"/>
                <w:szCs w:val="22"/>
                <w:lang w:val="en-US" w:eastAsia="en-US"/>
              </w:rPr>
              <w:t xml:space="preserve"> and is concluded for an indefinite period.</w:t>
            </w:r>
          </w:p>
          <w:p w:rsidR="00BE7BE8" w:rsidRPr="008128B9" w:rsidRDefault="0041723A" w:rsidP="0060069B">
            <w:pPr>
              <w:pStyle w:val="a8"/>
              <w:numPr>
                <w:ilvl w:val="0"/>
                <w:numId w:val="1"/>
              </w:numPr>
              <w:ind w:right="-142"/>
              <w:jc w:val="both"/>
              <w:rPr>
                <w:lang w:val="en-US"/>
              </w:rPr>
            </w:pPr>
            <w:r w:rsidRPr="008128B9">
              <w:rPr>
                <w:lang w:val="en-US"/>
              </w:rPr>
              <w:t xml:space="preserve">Director General of “Kubanenergo” JSC </w:t>
            </w:r>
            <w:r w:rsidR="00827600" w:rsidRPr="008128B9">
              <w:rPr>
                <w:lang w:val="en-US"/>
              </w:rPr>
              <w:t>provides the signing of Agreement in accordance with the established procedure</w:t>
            </w:r>
            <w:r w:rsidR="00B75764" w:rsidRPr="008128B9">
              <w:rPr>
                <w:lang w:val="en-US"/>
              </w:rPr>
              <w:t>.</w:t>
            </w:r>
          </w:p>
        </w:tc>
      </w:tr>
      <w:tr w:rsidR="008D5552" w:rsidRPr="00A60096" w:rsidTr="008B313B">
        <w:trPr>
          <w:trHeight w:val="1125"/>
        </w:trPr>
        <w:tc>
          <w:tcPr>
            <w:tcW w:w="9782" w:type="dxa"/>
            <w:gridSpan w:val="2"/>
          </w:tcPr>
          <w:p w:rsidR="008D5552" w:rsidRPr="00DD04FE" w:rsidRDefault="00A4189D"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b/>
                <w:sz w:val="24"/>
                <w:szCs w:val="24"/>
                <w:lang w:val="en-US"/>
              </w:rPr>
              <w:lastRenderedPageBreak/>
              <w:t xml:space="preserve">Disclosure of insider information on item No. </w:t>
            </w:r>
            <w:r>
              <w:rPr>
                <w:rFonts w:ascii="Times New Roman" w:hAnsi="Times New Roman" w:cs="Times New Roman"/>
                <w:b/>
                <w:sz w:val="24"/>
                <w:szCs w:val="24"/>
                <w:lang w:val="en-US"/>
              </w:rPr>
              <w:t>10</w:t>
            </w:r>
            <w:r w:rsidRPr="00DD04FE">
              <w:rPr>
                <w:rFonts w:ascii="Times New Roman" w:hAnsi="Times New Roman" w:cs="Times New Roman"/>
                <w:b/>
                <w:sz w:val="24"/>
                <w:szCs w:val="24"/>
                <w:lang w:val="en-US"/>
              </w:rPr>
              <w:t xml:space="preserve"> “</w:t>
            </w:r>
            <w:r w:rsidRPr="00A4189D">
              <w:rPr>
                <w:rFonts w:ascii="Times New Roman" w:hAnsi="Times New Roman" w:cs="Times New Roman"/>
                <w:b/>
                <w:sz w:val="24"/>
                <w:szCs w:val="24"/>
                <w:lang w:val="en-US"/>
              </w:rPr>
              <w:t>On approving agreement on organization of functioning and development of electric grid complex between Rosseti JSC and Kubanenergo JSC which core activity is electric energy transfer, as interested party transaction</w:t>
            </w:r>
            <w:r>
              <w:rPr>
                <w:rFonts w:ascii="Times New Roman" w:hAnsi="Times New Roman" w:cs="Times New Roman"/>
                <w:b/>
                <w:sz w:val="24"/>
                <w:szCs w:val="24"/>
                <w:lang w:val="en-US"/>
              </w:rPr>
              <w:t>”</w:t>
            </w:r>
          </w:p>
        </w:tc>
      </w:tr>
      <w:tr w:rsidR="00A4189D" w:rsidRPr="008128B9" w:rsidTr="00A4189D">
        <w:trPr>
          <w:trHeight w:val="375"/>
        </w:trPr>
        <w:tc>
          <w:tcPr>
            <w:tcW w:w="9782" w:type="dxa"/>
            <w:gridSpan w:val="2"/>
          </w:tcPr>
          <w:p w:rsidR="00A4189D" w:rsidRDefault="00A4189D" w:rsidP="0060069B">
            <w:pPr>
              <w:pStyle w:val="a3"/>
              <w:spacing w:before="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2.2.10. </w:t>
            </w:r>
            <w:r w:rsidRPr="00DD04FE">
              <w:rPr>
                <w:rFonts w:ascii="Times New Roman" w:hAnsi="Times New Roman" w:cs="Times New Roman"/>
                <w:sz w:val="24"/>
                <w:szCs w:val="24"/>
                <w:lang w:val="en-US"/>
              </w:rPr>
              <w:t>Decision adopted by issuer’s Board of Directors:</w:t>
            </w:r>
          </w:p>
          <w:p w:rsidR="00D64912" w:rsidRPr="00E5503C" w:rsidRDefault="00A4189D" w:rsidP="0060069B">
            <w:pPr>
              <w:jc w:val="both"/>
              <w:rPr>
                <w:i/>
                <w:lang w:val="en-US"/>
              </w:rPr>
            </w:pPr>
            <w:r w:rsidRPr="00D64912">
              <w:rPr>
                <w:lang w:val="en-US"/>
              </w:rPr>
              <w:t xml:space="preserve">1. </w:t>
            </w:r>
            <w:r w:rsidR="003E1AA8" w:rsidRPr="00D64912">
              <w:rPr>
                <w:lang w:val="en-US"/>
              </w:rPr>
              <w:t xml:space="preserve">To determine that cost of services of “Rosseti” JSC </w:t>
            </w:r>
            <w:r w:rsidR="00866BBC" w:rsidRPr="00D64912">
              <w:rPr>
                <w:lang w:val="en-US"/>
              </w:rPr>
              <w:t xml:space="preserve">under the </w:t>
            </w:r>
            <w:r w:rsidR="00CE5FD6" w:rsidRPr="00D64912">
              <w:rPr>
                <w:lang w:val="en-US"/>
              </w:rPr>
              <w:t>Agreement</w:t>
            </w:r>
            <w:r w:rsidR="00866BBC" w:rsidRPr="00D64912">
              <w:rPr>
                <w:lang w:val="en-US"/>
              </w:rPr>
              <w:t xml:space="preserve"> </w:t>
            </w:r>
            <w:r w:rsidR="005479D4" w:rsidRPr="00D64912">
              <w:rPr>
                <w:lang w:val="en-US"/>
              </w:rPr>
              <w:t xml:space="preserve">of services on </w:t>
            </w:r>
            <w:r w:rsidR="003E1AA8" w:rsidRPr="00D64912">
              <w:rPr>
                <w:lang w:val="en-US"/>
              </w:rPr>
              <w:t xml:space="preserve"> </w:t>
            </w:r>
            <w:r w:rsidR="005479D4" w:rsidRPr="00E5503C">
              <w:rPr>
                <w:lang w:val="en-US"/>
              </w:rPr>
              <w:t xml:space="preserve">functioning and development of electric grid complex concluded between “Rosseti” JSC and “Kubanenergo” JSC (hereafter - </w:t>
            </w:r>
            <w:r w:rsidR="00CE5FD6" w:rsidRPr="00E5503C">
              <w:rPr>
                <w:lang w:val="en-US"/>
              </w:rPr>
              <w:t>Agreement</w:t>
            </w:r>
            <w:r w:rsidR="005479D4" w:rsidRPr="00E5503C">
              <w:rPr>
                <w:lang w:val="en-US"/>
              </w:rPr>
              <w:t xml:space="preserve">), </w:t>
            </w:r>
            <w:r w:rsidR="00D64912" w:rsidRPr="00E5503C">
              <w:rPr>
                <w:lang w:val="en-US"/>
              </w:rPr>
              <w:t>as interested party transaction for one reporting period amounts 7 646 397 (seven million six hundred forty six thousand three hundred ninety seven) rubles 00 kopecks, and additionally VAT (18%) in the amount of 1 376 351 (one million three hundred seventy six thousand three hundred fifty one) rubles 46 kopecks.</w:t>
            </w:r>
          </w:p>
          <w:p w:rsidR="008128B9" w:rsidRPr="00E5503C" w:rsidRDefault="008128B9" w:rsidP="0060069B">
            <w:pPr>
              <w:jc w:val="both"/>
              <w:rPr>
                <w:lang w:val="en-US"/>
              </w:rPr>
            </w:pPr>
            <w:r w:rsidRPr="00E5503C">
              <w:rPr>
                <w:lang w:val="en-US"/>
              </w:rPr>
              <w:t xml:space="preserve">To determine that the cost of services </w:t>
            </w:r>
            <w:r w:rsidRPr="00E5503C">
              <w:rPr>
                <w:lang w:val="en-US"/>
              </w:rPr>
              <w:t xml:space="preserve">rendered by </w:t>
            </w:r>
            <w:r w:rsidRPr="00E5503C">
              <w:rPr>
                <w:lang w:val="en-US"/>
              </w:rPr>
              <w:t xml:space="preserve">“Kubanenergo” JSC under the </w:t>
            </w:r>
            <w:r w:rsidR="00504339" w:rsidRPr="00E5503C">
              <w:rPr>
                <w:lang w:val="en-US"/>
              </w:rPr>
              <w:t xml:space="preserve">Agreement </w:t>
            </w:r>
            <w:r w:rsidRPr="00E5503C">
              <w:rPr>
                <w:lang w:val="en-US"/>
              </w:rPr>
              <w:t xml:space="preserve">for one </w:t>
            </w:r>
            <w:r w:rsidR="00504339" w:rsidRPr="00E5503C">
              <w:rPr>
                <w:lang w:val="en-US"/>
              </w:rPr>
              <w:t>reporting</w:t>
            </w:r>
            <w:r w:rsidRPr="00E5503C">
              <w:rPr>
                <w:lang w:val="en-US"/>
              </w:rPr>
              <w:t xml:space="preserve"> period is 98 </w:t>
            </w:r>
            <w:r w:rsidRPr="00E5503C">
              <w:rPr>
                <w:lang w:val="en-US"/>
              </w:rPr>
              <w:t>730 (ninety</w:t>
            </w:r>
            <w:r w:rsidRPr="00E5503C">
              <w:rPr>
                <w:lang w:val="en-US"/>
              </w:rPr>
              <w:t xml:space="preserve"> </w:t>
            </w:r>
            <w:r w:rsidRPr="00E5503C">
              <w:rPr>
                <w:lang w:val="en-US"/>
              </w:rPr>
              <w:t>eight thousand seven hundred and thirty) rubles 04 kopecks, plus VAT (18%)</w:t>
            </w:r>
            <w:r w:rsidRPr="00E5503C">
              <w:rPr>
                <w:lang w:val="en-US"/>
              </w:rPr>
              <w:t xml:space="preserve"> – </w:t>
            </w:r>
            <w:r w:rsidRPr="00E5503C">
              <w:rPr>
                <w:lang w:val="en-US"/>
              </w:rPr>
              <w:t>17</w:t>
            </w:r>
            <w:r w:rsidRPr="00E5503C">
              <w:rPr>
                <w:lang w:val="en-US"/>
              </w:rPr>
              <w:t xml:space="preserve"> </w:t>
            </w:r>
            <w:r w:rsidRPr="00E5503C">
              <w:rPr>
                <w:lang w:val="en-US"/>
              </w:rPr>
              <w:t>771 (seventeen thousand s</w:t>
            </w:r>
            <w:r w:rsidRPr="00E5503C">
              <w:rPr>
                <w:lang w:val="en-US"/>
              </w:rPr>
              <w:t xml:space="preserve">even hundred seventy </w:t>
            </w:r>
            <w:r w:rsidRPr="00E5503C">
              <w:rPr>
                <w:lang w:val="en-US"/>
              </w:rPr>
              <w:t>one) ruble 41 kopecks.</w:t>
            </w:r>
          </w:p>
          <w:p w:rsidR="008128B9" w:rsidRPr="00E5503C" w:rsidRDefault="008128B9" w:rsidP="0060069B">
            <w:pPr>
              <w:jc w:val="both"/>
              <w:rPr>
                <w:lang w:val="en-US"/>
              </w:rPr>
            </w:pPr>
            <w:r w:rsidRPr="00E5503C">
              <w:rPr>
                <w:lang w:val="en-US"/>
              </w:rPr>
              <w:t xml:space="preserve">To determine that the price of the </w:t>
            </w:r>
            <w:r w:rsidR="00504339" w:rsidRPr="00E5503C">
              <w:rPr>
                <w:lang w:val="en-US"/>
              </w:rPr>
              <w:t xml:space="preserve">Agreement </w:t>
            </w:r>
            <w:r w:rsidRPr="00E5503C">
              <w:rPr>
                <w:lang w:val="en-US"/>
              </w:rPr>
              <w:t xml:space="preserve">cannot </w:t>
            </w:r>
            <w:r w:rsidRPr="00E5503C">
              <w:rPr>
                <w:lang w:val="en-US"/>
              </w:rPr>
              <w:t xml:space="preserve">exceed </w:t>
            </w:r>
            <w:r w:rsidRPr="00E5503C">
              <w:rPr>
                <w:lang w:val="en-US"/>
              </w:rPr>
              <w:t xml:space="preserve">2 percent of the </w:t>
            </w:r>
            <w:r w:rsidR="00A1227D" w:rsidRPr="00E5503C">
              <w:rPr>
                <w:lang w:val="en-US"/>
              </w:rPr>
              <w:t>net</w:t>
            </w:r>
            <w:r w:rsidRPr="00E5503C">
              <w:rPr>
                <w:lang w:val="en-US"/>
              </w:rPr>
              <w:t xml:space="preserve"> value of assets of </w:t>
            </w:r>
            <w:r w:rsidRPr="00E5503C">
              <w:rPr>
                <w:lang w:val="en-US"/>
              </w:rPr>
              <w:lastRenderedPageBreak/>
              <w:t>“Kubanenergo” JSC, according to its financial statements for the last reporting date.</w:t>
            </w:r>
          </w:p>
          <w:p w:rsidR="008128B9" w:rsidRPr="00E5503C" w:rsidRDefault="008128B9" w:rsidP="0060069B">
            <w:pPr>
              <w:ind w:firstLine="851"/>
              <w:jc w:val="both"/>
              <w:rPr>
                <w:lang w:val="en-US"/>
              </w:rPr>
            </w:pPr>
            <w:r w:rsidRPr="00E5503C">
              <w:rPr>
                <w:lang w:val="en-US"/>
              </w:rPr>
              <w:t xml:space="preserve">2. To approve the </w:t>
            </w:r>
            <w:r w:rsidR="00504339" w:rsidRPr="00E5503C">
              <w:rPr>
                <w:lang w:val="en-US"/>
              </w:rPr>
              <w:t xml:space="preserve">Agreement </w:t>
            </w:r>
            <w:r w:rsidRPr="00E5503C">
              <w:rPr>
                <w:lang w:val="en-US"/>
              </w:rPr>
              <w:t>(Annex 6 to the present decis</w:t>
            </w:r>
            <w:r w:rsidR="00A1227D" w:rsidRPr="00E5503C">
              <w:rPr>
                <w:lang w:val="en-US"/>
              </w:rPr>
              <w:t xml:space="preserve">ion of the Board of Directors) which is </w:t>
            </w:r>
            <w:r w:rsidRPr="00E5503C">
              <w:rPr>
                <w:lang w:val="en-US"/>
              </w:rPr>
              <w:t>a</w:t>
            </w:r>
            <w:r w:rsidR="00A1227D" w:rsidRPr="00E5503C">
              <w:rPr>
                <w:lang w:val="en-US"/>
              </w:rPr>
              <w:t>n interested party</w:t>
            </w:r>
            <w:r w:rsidRPr="00E5503C">
              <w:rPr>
                <w:lang w:val="en-US"/>
              </w:rPr>
              <w:t xml:space="preserve"> transaction</w:t>
            </w:r>
            <w:r w:rsidR="00A1227D" w:rsidRPr="00E5503C">
              <w:rPr>
                <w:lang w:val="en-US"/>
              </w:rPr>
              <w:t>,</w:t>
            </w:r>
            <w:r w:rsidRPr="00E5503C">
              <w:rPr>
                <w:lang w:val="en-US"/>
              </w:rPr>
              <w:t xml:space="preserve"> on the following conditions:</w:t>
            </w:r>
          </w:p>
          <w:p w:rsidR="008128B9" w:rsidRPr="00E5503C" w:rsidRDefault="008128B9" w:rsidP="0060069B">
            <w:pPr>
              <w:ind w:firstLine="851"/>
              <w:jc w:val="both"/>
              <w:rPr>
                <w:lang w:val="en-US"/>
              </w:rPr>
            </w:pPr>
            <w:r w:rsidRPr="00E5503C">
              <w:rPr>
                <w:lang w:val="en-US"/>
              </w:rPr>
              <w:t>Parties to the</w:t>
            </w:r>
            <w:r w:rsidR="00A1227D" w:rsidRPr="00E5503C">
              <w:rPr>
                <w:lang w:val="en-US"/>
              </w:rPr>
              <w:t xml:space="preserve"> </w:t>
            </w:r>
            <w:r w:rsidR="00504339" w:rsidRPr="00E5503C">
              <w:rPr>
                <w:lang w:val="en-US"/>
              </w:rPr>
              <w:t>Agreement</w:t>
            </w:r>
            <w:r w:rsidRPr="00E5503C">
              <w:rPr>
                <w:lang w:val="en-US"/>
              </w:rPr>
              <w:t>:</w:t>
            </w:r>
          </w:p>
          <w:p w:rsidR="008128B9" w:rsidRPr="00E5503C" w:rsidRDefault="00A1227D" w:rsidP="0060069B">
            <w:pPr>
              <w:ind w:firstLine="851"/>
              <w:jc w:val="both"/>
              <w:rPr>
                <w:lang w:val="en-US"/>
              </w:rPr>
            </w:pPr>
            <w:r w:rsidRPr="00E5503C">
              <w:rPr>
                <w:lang w:val="en-US"/>
              </w:rPr>
              <w:t>“</w:t>
            </w:r>
            <w:r w:rsidR="008128B9" w:rsidRPr="00E5503C">
              <w:rPr>
                <w:lang w:val="en-US"/>
              </w:rPr>
              <w:t>Rossetti</w:t>
            </w:r>
            <w:r w:rsidRPr="00E5503C">
              <w:rPr>
                <w:lang w:val="en-US"/>
              </w:rPr>
              <w:t>” JSC</w:t>
            </w:r>
            <w:r w:rsidR="008128B9" w:rsidRPr="00E5503C">
              <w:rPr>
                <w:lang w:val="en-US"/>
              </w:rPr>
              <w:t xml:space="preserve"> </w:t>
            </w:r>
            <w:r w:rsidRPr="00E5503C">
              <w:rPr>
                <w:lang w:val="en-US"/>
              </w:rPr>
              <w:t>–</w:t>
            </w:r>
            <w:r w:rsidR="008128B9" w:rsidRPr="00E5503C">
              <w:rPr>
                <w:lang w:val="en-US"/>
              </w:rPr>
              <w:t xml:space="preserve"> </w:t>
            </w:r>
            <w:r w:rsidRPr="00E5503C">
              <w:rPr>
                <w:lang w:val="en-US"/>
              </w:rPr>
              <w:t xml:space="preserve">Contractor </w:t>
            </w:r>
            <w:r w:rsidR="008128B9" w:rsidRPr="00E5503C">
              <w:rPr>
                <w:lang w:val="en-US"/>
              </w:rPr>
              <w:t>;</w:t>
            </w:r>
          </w:p>
          <w:p w:rsidR="008128B9" w:rsidRPr="00E5503C" w:rsidRDefault="00A1227D" w:rsidP="0060069B">
            <w:pPr>
              <w:ind w:firstLine="851"/>
              <w:jc w:val="both"/>
              <w:rPr>
                <w:lang w:val="en-US"/>
              </w:rPr>
            </w:pPr>
            <w:r w:rsidRPr="00E5503C">
              <w:rPr>
                <w:lang w:val="en-US"/>
              </w:rPr>
              <w:t>“</w:t>
            </w:r>
            <w:r w:rsidR="008128B9" w:rsidRPr="00E5503C">
              <w:rPr>
                <w:lang w:val="en-US"/>
              </w:rPr>
              <w:t>Kubanenergo</w:t>
            </w:r>
            <w:r w:rsidRPr="00E5503C">
              <w:rPr>
                <w:lang w:val="en-US"/>
              </w:rPr>
              <w:t>” JSC</w:t>
            </w:r>
            <w:r w:rsidR="008128B9" w:rsidRPr="00E5503C">
              <w:rPr>
                <w:lang w:val="en-US"/>
              </w:rPr>
              <w:t xml:space="preserve"> - Customer.</w:t>
            </w:r>
          </w:p>
          <w:p w:rsidR="008128B9" w:rsidRPr="00E5503C" w:rsidRDefault="008128B9" w:rsidP="0060069B">
            <w:pPr>
              <w:ind w:firstLine="851"/>
              <w:jc w:val="both"/>
              <w:rPr>
                <w:lang w:val="en-US"/>
              </w:rPr>
            </w:pPr>
            <w:r w:rsidRPr="00E5503C">
              <w:rPr>
                <w:lang w:val="en-US"/>
              </w:rPr>
              <w:t xml:space="preserve">Subject of the </w:t>
            </w:r>
            <w:r w:rsidR="00504339" w:rsidRPr="00E5503C">
              <w:rPr>
                <w:lang w:val="en-US"/>
              </w:rPr>
              <w:t>Agreement</w:t>
            </w:r>
            <w:r w:rsidRPr="00E5503C">
              <w:rPr>
                <w:lang w:val="en-US"/>
              </w:rPr>
              <w:t>:</w:t>
            </w:r>
          </w:p>
          <w:p w:rsidR="008128B9" w:rsidRPr="00E5503C" w:rsidRDefault="008128B9" w:rsidP="0060069B">
            <w:pPr>
              <w:jc w:val="both"/>
              <w:rPr>
                <w:lang w:val="en-US"/>
              </w:rPr>
            </w:pPr>
            <w:r w:rsidRPr="00E5503C">
              <w:rPr>
                <w:lang w:val="en-US"/>
              </w:rPr>
              <w:t xml:space="preserve">The Contractor shall provide the customer service operation and development of the electric grid complex of the Customer and technical supervision </w:t>
            </w:r>
            <w:r w:rsidR="00504339" w:rsidRPr="00E5503C">
              <w:rPr>
                <w:lang w:val="en-US"/>
              </w:rPr>
              <w:t>of</w:t>
            </w:r>
            <w:r w:rsidRPr="00E5503C">
              <w:rPr>
                <w:lang w:val="en-US"/>
              </w:rPr>
              <w:t xml:space="preserve"> electric grid facilities (hereinafter - Services), and the Customer shall accept and pay for the Services in accordance with the terms of the </w:t>
            </w:r>
            <w:r w:rsidR="00504339" w:rsidRPr="00E5503C">
              <w:rPr>
                <w:lang w:val="en-US"/>
              </w:rPr>
              <w:t>Agreement</w:t>
            </w:r>
            <w:r w:rsidRPr="00E5503C">
              <w:rPr>
                <w:lang w:val="en-US"/>
              </w:rPr>
              <w:t>.</w:t>
            </w:r>
          </w:p>
          <w:p w:rsidR="00504339" w:rsidRPr="00E5503C" w:rsidRDefault="008128B9" w:rsidP="0060069B">
            <w:pPr>
              <w:jc w:val="both"/>
              <w:rPr>
                <w:lang w:val="en-US"/>
              </w:rPr>
            </w:pPr>
            <w:r w:rsidRPr="00E5503C">
              <w:rPr>
                <w:lang w:val="en-US"/>
              </w:rPr>
              <w:t>Customer in order to create the necessary conditions for the activities of the Contractor's personnel directly engaged in providing services to the electric grid facilities of the Customer, provid</w:t>
            </w:r>
            <w:r w:rsidR="00504339" w:rsidRPr="00E5503C">
              <w:rPr>
                <w:lang w:val="en-US"/>
              </w:rPr>
              <w:t>es</w:t>
            </w:r>
            <w:r w:rsidRPr="00E5503C">
              <w:rPr>
                <w:lang w:val="en-US"/>
              </w:rPr>
              <w:t xml:space="preserve"> </w:t>
            </w:r>
            <w:r w:rsidR="00504339" w:rsidRPr="00E5503C">
              <w:rPr>
                <w:lang w:val="en-US"/>
              </w:rPr>
              <w:t>to</w:t>
            </w:r>
            <w:r w:rsidRPr="00E5503C">
              <w:rPr>
                <w:lang w:val="en-US"/>
              </w:rPr>
              <w:t xml:space="preserve"> the Contractor on a reimbursable basis throughout the term of the </w:t>
            </w:r>
            <w:r w:rsidR="00504339" w:rsidRPr="00E5503C">
              <w:rPr>
                <w:lang w:val="en-US"/>
              </w:rPr>
              <w:t xml:space="preserve">Agreement </w:t>
            </w:r>
            <w:r w:rsidR="00504339" w:rsidRPr="00E5503C">
              <w:rPr>
                <w:lang w:val="en-US"/>
              </w:rPr>
              <w:t>places</w:t>
            </w:r>
            <w:r w:rsidRPr="00E5503C">
              <w:rPr>
                <w:lang w:val="en-US"/>
              </w:rPr>
              <w:t xml:space="preserve"> (premises), </w:t>
            </w:r>
            <w:r w:rsidR="00504339" w:rsidRPr="00E5503C">
              <w:rPr>
                <w:lang w:val="en-US"/>
              </w:rPr>
              <w:t>with</w:t>
            </w:r>
            <w:r w:rsidRPr="00E5503C">
              <w:rPr>
                <w:lang w:val="en-US"/>
              </w:rPr>
              <w:t xml:space="preserve"> furniture, computer and office equipment, communication services and fixed-line Internet and stationery (hereinafter - the Customer Se</w:t>
            </w:r>
            <w:r w:rsidR="00504339" w:rsidRPr="00E5503C">
              <w:rPr>
                <w:lang w:val="en-US"/>
              </w:rPr>
              <w:t>rvices).</w:t>
            </w:r>
          </w:p>
          <w:p w:rsidR="008128B9" w:rsidRPr="00E5503C" w:rsidRDefault="008128B9" w:rsidP="0060069B">
            <w:pPr>
              <w:jc w:val="both"/>
              <w:rPr>
                <w:lang w:val="en-US"/>
              </w:rPr>
            </w:pPr>
            <w:r w:rsidRPr="00E5503C">
              <w:rPr>
                <w:lang w:val="en-US"/>
              </w:rPr>
              <w:t>Price</w:t>
            </w:r>
            <w:r w:rsidR="00504339" w:rsidRPr="00E5503C">
              <w:rPr>
                <w:lang w:val="en-US"/>
              </w:rPr>
              <w:t xml:space="preserve"> of the </w:t>
            </w:r>
            <w:r w:rsidR="00504339" w:rsidRPr="00E5503C">
              <w:rPr>
                <w:lang w:val="en-US"/>
              </w:rPr>
              <w:t>Agreement</w:t>
            </w:r>
            <w:r w:rsidRPr="00E5503C">
              <w:rPr>
                <w:lang w:val="en-US"/>
              </w:rPr>
              <w:t>:</w:t>
            </w:r>
          </w:p>
          <w:p w:rsidR="008128B9" w:rsidRPr="00E5503C" w:rsidRDefault="008128B9" w:rsidP="0060069B">
            <w:pPr>
              <w:jc w:val="both"/>
              <w:rPr>
                <w:lang w:val="en-US"/>
              </w:rPr>
            </w:pPr>
            <w:r w:rsidRPr="00E5503C">
              <w:rPr>
                <w:lang w:val="en-US"/>
              </w:rPr>
              <w:t xml:space="preserve">The cost of services for one </w:t>
            </w:r>
            <w:r w:rsidR="00504339" w:rsidRPr="00E5503C">
              <w:rPr>
                <w:lang w:val="en-US"/>
              </w:rPr>
              <w:t xml:space="preserve">reporting period is 7 646 </w:t>
            </w:r>
            <w:r w:rsidRPr="00E5503C">
              <w:rPr>
                <w:lang w:val="en-US"/>
              </w:rPr>
              <w:t>397 (</w:t>
            </w:r>
            <w:r w:rsidR="00504339" w:rsidRPr="00E5503C">
              <w:rPr>
                <w:lang w:val="en-US"/>
              </w:rPr>
              <w:t xml:space="preserve">seven million six hundred forty </w:t>
            </w:r>
            <w:r w:rsidRPr="00E5503C">
              <w:rPr>
                <w:lang w:val="en-US"/>
              </w:rPr>
              <w:t>si</w:t>
            </w:r>
            <w:r w:rsidR="00504339" w:rsidRPr="00E5503C">
              <w:rPr>
                <w:lang w:val="en-US"/>
              </w:rPr>
              <w:t xml:space="preserve">x thousand three hundred ninety </w:t>
            </w:r>
            <w:r w:rsidRPr="00E5503C">
              <w:rPr>
                <w:lang w:val="en-US"/>
              </w:rPr>
              <w:t>seven) rubles 00 kopecks, pl</w:t>
            </w:r>
            <w:r w:rsidR="00504339" w:rsidRPr="00E5503C">
              <w:rPr>
                <w:lang w:val="en-US"/>
              </w:rPr>
              <w:t xml:space="preserve">us VAT (18%) in the amount of 1 376 </w:t>
            </w:r>
            <w:r w:rsidRPr="00E5503C">
              <w:rPr>
                <w:lang w:val="en-US"/>
              </w:rPr>
              <w:t>351 (on</w:t>
            </w:r>
            <w:r w:rsidR="00504339" w:rsidRPr="00E5503C">
              <w:rPr>
                <w:lang w:val="en-US"/>
              </w:rPr>
              <w:t xml:space="preserve">e million three hundred seventy </w:t>
            </w:r>
            <w:r w:rsidRPr="00E5503C">
              <w:rPr>
                <w:lang w:val="en-US"/>
              </w:rPr>
              <w:t xml:space="preserve">six </w:t>
            </w:r>
            <w:r w:rsidR="00504339" w:rsidRPr="00E5503C">
              <w:rPr>
                <w:lang w:val="en-US"/>
              </w:rPr>
              <w:t xml:space="preserve">thousand three hundred fifty </w:t>
            </w:r>
            <w:r w:rsidRPr="00E5503C">
              <w:rPr>
                <w:lang w:val="en-US"/>
              </w:rPr>
              <w:t xml:space="preserve">one) ruble 46 </w:t>
            </w:r>
            <w:r w:rsidR="00504339" w:rsidRPr="00E5503C">
              <w:rPr>
                <w:lang w:val="en-US"/>
              </w:rPr>
              <w:t>kopecks</w:t>
            </w:r>
            <w:r w:rsidRPr="00E5503C">
              <w:rPr>
                <w:lang w:val="en-US"/>
              </w:rPr>
              <w:t>, and is determined on the basis of:</w:t>
            </w:r>
          </w:p>
          <w:p w:rsidR="00504339" w:rsidRPr="00E5503C" w:rsidRDefault="008128B9" w:rsidP="0060069B">
            <w:pPr>
              <w:pStyle w:val="a8"/>
              <w:numPr>
                <w:ilvl w:val="0"/>
                <w:numId w:val="40"/>
              </w:numPr>
              <w:jc w:val="both"/>
              <w:rPr>
                <w:lang w:val="en-US"/>
              </w:rPr>
            </w:pPr>
            <w:r w:rsidRPr="00E5503C">
              <w:rPr>
                <w:lang w:val="en-US"/>
              </w:rPr>
              <w:t>the cost of services for the operation and development of the electric grid complex in the amount of 6</w:t>
            </w:r>
            <w:r w:rsidR="00504339" w:rsidRPr="00E5503C">
              <w:rPr>
                <w:lang w:val="en-US"/>
              </w:rPr>
              <w:t xml:space="preserve"> </w:t>
            </w:r>
            <w:r w:rsidRPr="00E5503C">
              <w:rPr>
                <w:lang w:val="en-US"/>
              </w:rPr>
              <w:t>373730 (six million three hundred seventy</w:t>
            </w:r>
            <w:r w:rsidR="00504339" w:rsidRPr="00E5503C">
              <w:rPr>
                <w:lang w:val="en-US"/>
              </w:rPr>
              <w:t xml:space="preserve"> </w:t>
            </w:r>
            <w:r w:rsidRPr="00E5503C">
              <w:rPr>
                <w:lang w:val="en-US"/>
              </w:rPr>
              <w:t>three thousand seven hundred and thirty) rubles 33 kopecks, plus VAT (18%) in the amount of 1</w:t>
            </w:r>
            <w:r w:rsidR="00504339" w:rsidRPr="00E5503C">
              <w:rPr>
                <w:lang w:val="en-US"/>
              </w:rPr>
              <w:t> </w:t>
            </w:r>
            <w:r w:rsidRPr="00E5503C">
              <w:rPr>
                <w:lang w:val="en-US"/>
              </w:rPr>
              <w:t>147</w:t>
            </w:r>
            <w:r w:rsidR="00504339" w:rsidRPr="00E5503C">
              <w:rPr>
                <w:lang w:val="en-US"/>
              </w:rPr>
              <w:t xml:space="preserve"> </w:t>
            </w:r>
            <w:r w:rsidRPr="00E5503C">
              <w:rPr>
                <w:lang w:val="en-US"/>
              </w:rPr>
              <w:t>271</w:t>
            </w:r>
            <w:r w:rsidR="00504339" w:rsidRPr="00E5503C">
              <w:rPr>
                <w:lang w:val="en-US"/>
              </w:rPr>
              <w:t xml:space="preserve"> (one million one hundred forty </w:t>
            </w:r>
            <w:r w:rsidRPr="00E5503C">
              <w:rPr>
                <w:lang w:val="en-US"/>
              </w:rPr>
              <w:t>seven thousand two hundred and seventy one) rubles 46 kopecks;</w:t>
            </w:r>
          </w:p>
          <w:p w:rsidR="008128B9" w:rsidRPr="00E5503C" w:rsidRDefault="008128B9" w:rsidP="0060069B">
            <w:pPr>
              <w:pStyle w:val="a8"/>
              <w:numPr>
                <w:ilvl w:val="0"/>
                <w:numId w:val="40"/>
              </w:numPr>
              <w:jc w:val="both"/>
              <w:rPr>
                <w:lang w:val="en-US"/>
              </w:rPr>
            </w:pPr>
            <w:proofErr w:type="gramStart"/>
            <w:r w:rsidRPr="00E5503C">
              <w:rPr>
                <w:lang w:val="en-US"/>
              </w:rPr>
              <w:t>the</w:t>
            </w:r>
            <w:proofErr w:type="gramEnd"/>
            <w:r w:rsidRPr="00E5503C">
              <w:rPr>
                <w:lang w:val="en-US"/>
              </w:rPr>
              <w:t xml:space="preserve"> cost of services for the implementation of technical supervision of power grid facilities of the Customer in the amount of 1</w:t>
            </w:r>
            <w:r w:rsidR="00504339" w:rsidRPr="00E5503C">
              <w:rPr>
                <w:lang w:val="en-US"/>
              </w:rPr>
              <w:t> </w:t>
            </w:r>
            <w:r w:rsidRPr="00E5503C">
              <w:rPr>
                <w:lang w:val="en-US"/>
              </w:rPr>
              <w:t>272</w:t>
            </w:r>
            <w:r w:rsidR="00504339" w:rsidRPr="00E5503C">
              <w:rPr>
                <w:lang w:val="en-US"/>
              </w:rPr>
              <w:t xml:space="preserve"> </w:t>
            </w:r>
            <w:r w:rsidRPr="00E5503C">
              <w:rPr>
                <w:lang w:val="en-US"/>
              </w:rPr>
              <w:t>666 (one million two hundred seventy</w:t>
            </w:r>
            <w:r w:rsidR="00504339" w:rsidRPr="00E5503C">
              <w:rPr>
                <w:lang w:val="en-US"/>
              </w:rPr>
              <w:t xml:space="preserve"> </w:t>
            </w:r>
            <w:r w:rsidRPr="00E5503C">
              <w:rPr>
                <w:lang w:val="en-US"/>
              </w:rPr>
              <w:t>two thousand six hundred sixty</w:t>
            </w:r>
            <w:r w:rsidR="00504339" w:rsidRPr="00E5503C">
              <w:rPr>
                <w:lang w:val="en-US"/>
              </w:rPr>
              <w:t xml:space="preserve"> </w:t>
            </w:r>
            <w:r w:rsidRPr="00E5503C">
              <w:rPr>
                <w:lang w:val="en-US"/>
              </w:rPr>
              <w:t>six) rubles 67 kopecks, plus VAT (18%) in the amount of 229</w:t>
            </w:r>
            <w:r w:rsidR="00504339" w:rsidRPr="00E5503C">
              <w:rPr>
                <w:lang w:val="en-US"/>
              </w:rPr>
              <w:t xml:space="preserve"> </w:t>
            </w:r>
            <w:r w:rsidRPr="00E5503C">
              <w:rPr>
                <w:lang w:val="en-US"/>
              </w:rPr>
              <w:t>080 (two hundred twenty</w:t>
            </w:r>
            <w:r w:rsidR="00504339" w:rsidRPr="00E5503C">
              <w:rPr>
                <w:lang w:val="en-US"/>
              </w:rPr>
              <w:t xml:space="preserve"> </w:t>
            </w:r>
            <w:r w:rsidRPr="00E5503C">
              <w:rPr>
                <w:lang w:val="en-US"/>
              </w:rPr>
              <w:t>nine thousand and eighty ) rubles 00 kopecks.</w:t>
            </w:r>
          </w:p>
          <w:p w:rsidR="008128B9" w:rsidRPr="00E5503C" w:rsidRDefault="008128B9" w:rsidP="0060069B">
            <w:pPr>
              <w:jc w:val="both"/>
              <w:rPr>
                <w:lang w:val="en-US"/>
              </w:rPr>
            </w:pPr>
            <w:r w:rsidRPr="00E5503C">
              <w:rPr>
                <w:lang w:val="en-US"/>
              </w:rPr>
              <w:t xml:space="preserve">Customer Service Fees for one </w:t>
            </w:r>
            <w:r w:rsidR="00504339" w:rsidRPr="00E5503C">
              <w:rPr>
                <w:lang w:val="en-US"/>
              </w:rPr>
              <w:t>reporting</w:t>
            </w:r>
            <w:r w:rsidRPr="00E5503C">
              <w:rPr>
                <w:lang w:val="en-US"/>
              </w:rPr>
              <w:t xml:space="preserve"> period is 98</w:t>
            </w:r>
            <w:r w:rsidR="00504339" w:rsidRPr="00E5503C">
              <w:rPr>
                <w:lang w:val="en-US"/>
              </w:rPr>
              <w:t xml:space="preserve"> </w:t>
            </w:r>
            <w:r w:rsidRPr="00E5503C">
              <w:rPr>
                <w:lang w:val="en-US"/>
              </w:rPr>
              <w:t>730 (ninety</w:t>
            </w:r>
            <w:r w:rsidR="00504339" w:rsidRPr="00E5503C">
              <w:rPr>
                <w:lang w:val="en-US"/>
              </w:rPr>
              <w:t xml:space="preserve"> </w:t>
            </w:r>
            <w:r w:rsidRPr="00E5503C">
              <w:rPr>
                <w:lang w:val="en-US"/>
              </w:rPr>
              <w:t>eight thousand seven hundred and thirty) rubles 04 kopecks, plu</w:t>
            </w:r>
            <w:r w:rsidR="00504339" w:rsidRPr="00E5503C">
              <w:rPr>
                <w:lang w:val="en-US"/>
              </w:rPr>
              <w:t xml:space="preserve">s VAT (18%) in the amount of 17 </w:t>
            </w:r>
            <w:r w:rsidRPr="00E5503C">
              <w:rPr>
                <w:lang w:val="en-US"/>
              </w:rPr>
              <w:t>771 (seventeen</w:t>
            </w:r>
            <w:r w:rsidR="00504339" w:rsidRPr="00E5503C">
              <w:rPr>
                <w:lang w:val="en-US"/>
              </w:rPr>
              <w:t xml:space="preserve"> thousand seven hundred seventy </w:t>
            </w:r>
            <w:r w:rsidRPr="00E5503C">
              <w:rPr>
                <w:lang w:val="en-US"/>
              </w:rPr>
              <w:t>one) ruble 41 kopecks.</w:t>
            </w:r>
          </w:p>
          <w:p w:rsidR="008128B9" w:rsidRPr="00E5503C" w:rsidRDefault="008128B9" w:rsidP="0060069B">
            <w:pPr>
              <w:jc w:val="both"/>
              <w:rPr>
                <w:lang w:val="en-US"/>
              </w:rPr>
            </w:pPr>
            <w:r w:rsidRPr="00E5503C">
              <w:rPr>
                <w:lang w:val="en-US"/>
              </w:rPr>
              <w:t xml:space="preserve">The </w:t>
            </w:r>
            <w:r w:rsidR="00504339" w:rsidRPr="00E5503C">
              <w:rPr>
                <w:lang w:val="en-US"/>
              </w:rPr>
              <w:t>reporting</w:t>
            </w:r>
            <w:r w:rsidRPr="00E5503C">
              <w:rPr>
                <w:lang w:val="en-US"/>
              </w:rPr>
              <w:t xml:space="preserve"> period is a calendar month of service delivery.</w:t>
            </w:r>
          </w:p>
          <w:p w:rsidR="008128B9" w:rsidRPr="00E5503C" w:rsidRDefault="008128B9" w:rsidP="0060069B">
            <w:pPr>
              <w:jc w:val="both"/>
              <w:rPr>
                <w:lang w:val="en-US"/>
              </w:rPr>
            </w:pPr>
            <w:r w:rsidRPr="00E5503C">
              <w:rPr>
                <w:lang w:val="en-US"/>
              </w:rPr>
              <w:t>Term of services:</w:t>
            </w:r>
          </w:p>
          <w:p w:rsidR="008128B9" w:rsidRPr="00E5503C" w:rsidRDefault="008128B9" w:rsidP="0060069B">
            <w:pPr>
              <w:jc w:val="both"/>
              <w:rPr>
                <w:lang w:val="en-US"/>
              </w:rPr>
            </w:pPr>
            <w:r w:rsidRPr="00E5503C">
              <w:rPr>
                <w:lang w:val="en-US"/>
              </w:rPr>
              <w:t xml:space="preserve">Term of </w:t>
            </w:r>
            <w:r w:rsidR="00504339" w:rsidRPr="00E5503C">
              <w:rPr>
                <w:lang w:val="en-US"/>
              </w:rPr>
              <w:t xml:space="preserve">rendering the </w:t>
            </w:r>
            <w:r w:rsidRPr="00E5503C">
              <w:rPr>
                <w:lang w:val="en-US"/>
              </w:rPr>
              <w:t>services under the Agreement</w:t>
            </w:r>
            <w:r w:rsidR="00504339" w:rsidRPr="00E5503C">
              <w:rPr>
                <w:lang w:val="en-US"/>
              </w:rPr>
              <w:t>:</w:t>
            </w:r>
            <w:r w:rsidRPr="00E5503C">
              <w:rPr>
                <w:lang w:val="en-US"/>
              </w:rPr>
              <w:t xml:space="preserve"> </w:t>
            </w:r>
            <w:r w:rsidR="00504339" w:rsidRPr="00E5503C">
              <w:rPr>
                <w:lang w:val="en-US"/>
              </w:rPr>
              <w:t xml:space="preserve">01.01.2015 – </w:t>
            </w:r>
            <w:r w:rsidRPr="00E5503C">
              <w:rPr>
                <w:lang w:val="en-US"/>
              </w:rPr>
              <w:t>31.12.2017.</w:t>
            </w:r>
          </w:p>
          <w:p w:rsidR="008128B9" w:rsidRPr="00E5503C" w:rsidRDefault="008128B9" w:rsidP="0060069B">
            <w:pPr>
              <w:jc w:val="both"/>
              <w:rPr>
                <w:lang w:val="en-US"/>
              </w:rPr>
            </w:pPr>
            <w:r w:rsidRPr="00E5503C">
              <w:rPr>
                <w:lang w:val="en-US"/>
              </w:rPr>
              <w:t>Term of the Agreement:</w:t>
            </w:r>
          </w:p>
          <w:p w:rsidR="008128B9" w:rsidRPr="00E5503C" w:rsidRDefault="008128B9" w:rsidP="0060069B">
            <w:pPr>
              <w:jc w:val="both"/>
              <w:rPr>
                <w:lang w:val="en-US"/>
              </w:rPr>
            </w:pPr>
            <w:r w:rsidRPr="00E5503C">
              <w:rPr>
                <w:lang w:val="en-US"/>
              </w:rPr>
              <w:t>The Agreement shall enter into force upon</w:t>
            </w:r>
            <w:r w:rsidR="00504339" w:rsidRPr="00E5503C">
              <w:rPr>
                <w:lang w:val="en-US"/>
              </w:rPr>
              <w:t xml:space="preserve"> the</w:t>
            </w:r>
            <w:r w:rsidRPr="00E5503C">
              <w:rPr>
                <w:lang w:val="en-US"/>
              </w:rPr>
              <w:t xml:space="preserve"> signature and shall be valid until 31 December 2017, and in terms of settlements until the Parties fulfill the obligations. </w:t>
            </w:r>
            <w:r w:rsidR="00504339" w:rsidRPr="00E5503C">
              <w:rPr>
                <w:lang w:val="en-US"/>
              </w:rPr>
              <w:t xml:space="preserve">The </w:t>
            </w:r>
            <w:r w:rsidR="00504339" w:rsidRPr="00E5503C">
              <w:rPr>
                <w:lang w:val="en-US"/>
              </w:rPr>
              <w:t>Agreement</w:t>
            </w:r>
            <w:r w:rsidR="00504339" w:rsidRPr="00E5503C">
              <w:rPr>
                <w:lang w:val="en-US"/>
              </w:rPr>
              <w:t xml:space="preserve"> is applied</w:t>
            </w:r>
            <w:r w:rsidRPr="00E5503C">
              <w:rPr>
                <w:lang w:val="en-US"/>
              </w:rPr>
              <w:t xml:space="preserve"> to the relations of the Parties arising from 01.01.2015.</w:t>
            </w:r>
          </w:p>
          <w:p w:rsidR="00A4189D" w:rsidRPr="008128B9" w:rsidRDefault="008128B9" w:rsidP="0060069B">
            <w:pPr>
              <w:jc w:val="both"/>
              <w:rPr>
                <w:i/>
                <w:sz w:val="22"/>
                <w:szCs w:val="22"/>
                <w:lang w:val="en-US"/>
              </w:rPr>
            </w:pPr>
            <w:r w:rsidRPr="00E5503C">
              <w:rPr>
                <w:lang w:val="en-US"/>
              </w:rPr>
              <w:t xml:space="preserve">3. General Director of </w:t>
            </w:r>
            <w:r w:rsidR="00504339" w:rsidRPr="00E5503C">
              <w:rPr>
                <w:lang w:val="en-US"/>
              </w:rPr>
              <w:t>Kubanenergo JSC shall</w:t>
            </w:r>
            <w:r w:rsidRPr="00E5503C">
              <w:rPr>
                <w:lang w:val="en-US"/>
              </w:rPr>
              <w:t xml:space="preserve"> ensure the conclusion of the Agreement by the Company in the period up to 01.12.2</w:t>
            </w:r>
            <w:r w:rsidR="00504339" w:rsidRPr="00E5503C">
              <w:rPr>
                <w:lang w:val="en-US"/>
              </w:rPr>
              <w:t>014</w:t>
            </w:r>
            <w:r w:rsidRPr="00E5503C">
              <w:rPr>
                <w:lang w:val="en-US"/>
              </w:rPr>
              <w:t>.</w:t>
            </w:r>
          </w:p>
        </w:tc>
      </w:tr>
      <w:tr w:rsidR="00A4189D" w:rsidRPr="00A60096" w:rsidTr="00A4189D">
        <w:trPr>
          <w:trHeight w:val="660"/>
        </w:trPr>
        <w:tc>
          <w:tcPr>
            <w:tcW w:w="9782" w:type="dxa"/>
            <w:gridSpan w:val="2"/>
          </w:tcPr>
          <w:p w:rsidR="00A4189D" w:rsidRPr="00DD04FE" w:rsidRDefault="00A4189D"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b/>
                <w:sz w:val="24"/>
                <w:szCs w:val="24"/>
                <w:lang w:val="en-US"/>
              </w:rPr>
              <w:lastRenderedPageBreak/>
              <w:t xml:space="preserve">Disclosure of insider information on item No. </w:t>
            </w:r>
            <w:r>
              <w:rPr>
                <w:rFonts w:ascii="Times New Roman" w:hAnsi="Times New Roman" w:cs="Times New Roman"/>
                <w:b/>
                <w:sz w:val="24"/>
                <w:szCs w:val="24"/>
                <w:lang w:val="en-US"/>
              </w:rPr>
              <w:t>11</w:t>
            </w:r>
            <w:r w:rsidRPr="00DD04FE">
              <w:rPr>
                <w:rFonts w:ascii="Times New Roman" w:hAnsi="Times New Roman" w:cs="Times New Roman"/>
                <w:b/>
                <w:sz w:val="24"/>
                <w:szCs w:val="24"/>
                <w:lang w:val="en-US"/>
              </w:rPr>
              <w:t xml:space="preserve"> “</w:t>
            </w:r>
            <w:r w:rsidRPr="00A4189D">
              <w:rPr>
                <w:rFonts w:ascii="Times New Roman" w:hAnsi="Times New Roman" w:cs="Times New Roman"/>
                <w:b/>
                <w:sz w:val="24"/>
                <w:szCs w:val="24"/>
                <w:lang w:val="en-US"/>
              </w:rPr>
              <w:t>On introducing changes to Regulations on investment activity of Kubanenergo JSC</w:t>
            </w:r>
            <w:r>
              <w:rPr>
                <w:rFonts w:ascii="Times New Roman" w:hAnsi="Times New Roman" w:cs="Times New Roman"/>
                <w:b/>
                <w:sz w:val="24"/>
                <w:szCs w:val="24"/>
                <w:lang w:val="en-US"/>
              </w:rPr>
              <w:t>”</w:t>
            </w:r>
          </w:p>
        </w:tc>
      </w:tr>
      <w:tr w:rsidR="00A4189D" w:rsidRPr="0060069B" w:rsidTr="00A4189D">
        <w:trPr>
          <w:trHeight w:val="319"/>
        </w:trPr>
        <w:tc>
          <w:tcPr>
            <w:tcW w:w="9782" w:type="dxa"/>
            <w:gridSpan w:val="2"/>
          </w:tcPr>
          <w:p w:rsidR="00A4189D" w:rsidRPr="0060069B" w:rsidRDefault="00A4189D" w:rsidP="0060069B">
            <w:pPr>
              <w:pStyle w:val="a3"/>
              <w:spacing w:before="60"/>
              <w:jc w:val="both"/>
              <w:rPr>
                <w:rFonts w:ascii="Times New Roman" w:hAnsi="Times New Roman" w:cs="Times New Roman"/>
                <w:sz w:val="24"/>
                <w:szCs w:val="24"/>
                <w:lang w:val="en-US"/>
              </w:rPr>
            </w:pPr>
            <w:r w:rsidRPr="0060069B">
              <w:rPr>
                <w:rFonts w:ascii="Times New Roman" w:hAnsi="Times New Roman" w:cs="Times New Roman"/>
                <w:sz w:val="24"/>
                <w:szCs w:val="24"/>
                <w:lang w:val="en-US"/>
              </w:rPr>
              <w:t>2.2.11. Decision adopted by issuer’s Board of Directors:</w:t>
            </w:r>
          </w:p>
          <w:p w:rsidR="00A4189D" w:rsidRPr="0060069B" w:rsidRDefault="00E5503C" w:rsidP="0060069B">
            <w:pPr>
              <w:pStyle w:val="a3"/>
              <w:spacing w:before="60"/>
              <w:jc w:val="both"/>
              <w:rPr>
                <w:rFonts w:ascii="Times New Roman" w:hAnsi="Times New Roman" w:cs="Times New Roman"/>
                <w:sz w:val="24"/>
                <w:szCs w:val="24"/>
                <w:lang w:val="en-US"/>
              </w:rPr>
            </w:pPr>
            <w:r w:rsidRPr="0060069B">
              <w:rPr>
                <w:rFonts w:ascii="Times New Roman" w:hAnsi="Times New Roman" w:cs="Times New Roman"/>
                <w:sz w:val="24"/>
                <w:szCs w:val="24"/>
                <w:lang w:val="en-US"/>
              </w:rPr>
              <w:t>To introduce changes to Regulations on investment activity of Kubanenergo (</w:t>
            </w:r>
            <w:r w:rsidR="009C3A44" w:rsidRPr="0060069B">
              <w:rPr>
                <w:rFonts w:ascii="Times New Roman" w:hAnsi="Times New Roman" w:cs="Times New Roman"/>
                <w:sz w:val="24"/>
                <w:szCs w:val="24"/>
                <w:lang w:val="en-US"/>
              </w:rPr>
              <w:t>minutes of meeting No.158/2013 dd 12.04.2013</w:t>
            </w:r>
            <w:r w:rsidRPr="0060069B">
              <w:rPr>
                <w:rFonts w:ascii="Times New Roman" w:hAnsi="Times New Roman" w:cs="Times New Roman"/>
                <w:sz w:val="24"/>
                <w:szCs w:val="24"/>
                <w:lang w:val="en-US"/>
              </w:rPr>
              <w:t>)</w:t>
            </w:r>
            <w:r w:rsidR="009C3A44" w:rsidRPr="0060069B">
              <w:rPr>
                <w:rFonts w:ascii="Times New Roman" w:hAnsi="Times New Roman" w:cs="Times New Roman"/>
                <w:sz w:val="24"/>
                <w:szCs w:val="24"/>
                <w:lang w:val="en-US"/>
              </w:rPr>
              <w:t xml:space="preserve"> by adding to chapter 4</w:t>
            </w:r>
            <w:r w:rsidR="0060069B" w:rsidRPr="0060069B">
              <w:rPr>
                <w:rFonts w:ascii="Times New Roman" w:hAnsi="Times New Roman" w:cs="Times New Roman"/>
                <w:sz w:val="24"/>
                <w:szCs w:val="24"/>
                <w:lang w:val="en-US"/>
              </w:rPr>
              <w:t xml:space="preserve"> “Controlled facilities and elements of accounting, structure of investment programme”</w:t>
            </w:r>
            <w:r w:rsidR="009C3A44" w:rsidRPr="0060069B">
              <w:rPr>
                <w:rFonts w:ascii="Times New Roman" w:hAnsi="Times New Roman" w:cs="Times New Roman"/>
                <w:sz w:val="24"/>
                <w:szCs w:val="24"/>
                <w:lang w:val="en-US"/>
              </w:rPr>
              <w:t xml:space="preserve"> the following passage</w:t>
            </w:r>
            <w:r w:rsidR="0060069B" w:rsidRPr="0060069B">
              <w:rPr>
                <w:rFonts w:ascii="Times New Roman" w:hAnsi="Times New Roman" w:cs="Times New Roman"/>
                <w:sz w:val="24"/>
                <w:szCs w:val="24"/>
                <w:lang w:val="en-US"/>
              </w:rPr>
              <w:t>: “Investments project consisting of 2 and more items and  financed by the federal budget, budgets of territorial subjects of RF, state budgetary and non-budgetary funds is subject to detailed breakdown upon the inclusion of the project in the investments programme”</w:t>
            </w:r>
            <w:r w:rsidR="00C812BD" w:rsidRPr="0060069B">
              <w:rPr>
                <w:rFonts w:ascii="Times New Roman" w:hAnsi="Times New Roman" w:cs="Times New Roman"/>
                <w:sz w:val="24"/>
                <w:szCs w:val="24"/>
                <w:lang w:val="en-US"/>
              </w:rPr>
              <w:t>.</w:t>
            </w:r>
          </w:p>
        </w:tc>
      </w:tr>
      <w:tr w:rsidR="00A4189D" w:rsidRPr="00A60096" w:rsidTr="008B313B">
        <w:trPr>
          <w:trHeight w:val="1125"/>
        </w:trPr>
        <w:tc>
          <w:tcPr>
            <w:tcW w:w="9782" w:type="dxa"/>
            <w:gridSpan w:val="2"/>
          </w:tcPr>
          <w:p w:rsidR="00A4189D" w:rsidRPr="00DD04FE" w:rsidRDefault="00A4189D" w:rsidP="0060069B">
            <w:pPr>
              <w:pStyle w:val="a3"/>
              <w:spacing w:before="60"/>
              <w:jc w:val="both"/>
              <w:rPr>
                <w:rFonts w:ascii="Times New Roman" w:hAnsi="Times New Roman" w:cs="Times New Roman"/>
                <w:b/>
                <w:sz w:val="24"/>
                <w:szCs w:val="24"/>
                <w:lang w:val="en-US"/>
              </w:rPr>
            </w:pPr>
            <w:r w:rsidRPr="00DD04FE">
              <w:rPr>
                <w:rFonts w:ascii="Times New Roman" w:hAnsi="Times New Roman" w:cs="Times New Roman"/>
                <w:sz w:val="24"/>
                <w:szCs w:val="24"/>
                <w:lang w:val="en-US"/>
              </w:rPr>
              <w:t xml:space="preserve">2.3. Date of holding the meeting of Board of Directors: </w:t>
            </w:r>
            <w:r w:rsidR="00C812BD">
              <w:rPr>
                <w:rFonts w:ascii="Times New Roman" w:hAnsi="Times New Roman" w:cs="Times New Roman"/>
                <w:sz w:val="24"/>
                <w:szCs w:val="24"/>
                <w:lang w:val="en-US"/>
              </w:rPr>
              <w:t>November</w:t>
            </w:r>
            <w:r w:rsidRPr="00DD04FE">
              <w:rPr>
                <w:rFonts w:ascii="Times New Roman" w:hAnsi="Times New Roman" w:cs="Times New Roman"/>
                <w:sz w:val="24"/>
                <w:szCs w:val="24"/>
                <w:lang w:val="en-US"/>
              </w:rPr>
              <w:t xml:space="preserve"> </w:t>
            </w:r>
            <w:r w:rsidR="00C812BD">
              <w:rPr>
                <w:rFonts w:ascii="Times New Roman" w:hAnsi="Times New Roman" w:cs="Times New Roman"/>
                <w:sz w:val="24"/>
                <w:szCs w:val="24"/>
                <w:lang w:val="en-US"/>
              </w:rPr>
              <w:t>14</w:t>
            </w:r>
            <w:r w:rsidRPr="00DD04FE">
              <w:rPr>
                <w:rFonts w:ascii="Times New Roman" w:hAnsi="Times New Roman" w:cs="Times New Roman"/>
                <w:sz w:val="24"/>
                <w:szCs w:val="24"/>
                <w:lang w:val="en-US"/>
              </w:rPr>
              <w:t>, 2014</w:t>
            </w:r>
          </w:p>
          <w:p w:rsidR="00A4189D" w:rsidRPr="00DD04FE" w:rsidRDefault="00A4189D" w:rsidP="0060069B">
            <w:pPr>
              <w:pStyle w:val="a3"/>
              <w:spacing w:before="60"/>
              <w:jc w:val="both"/>
              <w:rPr>
                <w:rFonts w:ascii="Times New Roman" w:hAnsi="Times New Roman" w:cs="Times New Roman"/>
                <w:sz w:val="24"/>
                <w:szCs w:val="24"/>
                <w:lang w:val="en-US"/>
              </w:rPr>
            </w:pPr>
            <w:r w:rsidRPr="00DD04FE">
              <w:rPr>
                <w:rFonts w:ascii="Times New Roman" w:hAnsi="Times New Roman" w:cs="Times New Roman"/>
                <w:sz w:val="24"/>
                <w:szCs w:val="24"/>
                <w:lang w:val="en-US"/>
              </w:rPr>
              <w:t xml:space="preserve">2.4. Date of making and number of minutes of meeting: </w:t>
            </w:r>
            <w:r w:rsidR="00C812BD">
              <w:rPr>
                <w:rFonts w:ascii="Times New Roman" w:hAnsi="Times New Roman" w:cs="Times New Roman"/>
                <w:sz w:val="24"/>
                <w:szCs w:val="24"/>
                <w:lang w:val="en-US"/>
              </w:rPr>
              <w:t>November</w:t>
            </w:r>
            <w:r w:rsidRPr="00DD04FE">
              <w:rPr>
                <w:rFonts w:ascii="Times New Roman" w:hAnsi="Times New Roman" w:cs="Times New Roman"/>
                <w:sz w:val="24"/>
                <w:szCs w:val="24"/>
                <w:lang w:val="en-US"/>
              </w:rPr>
              <w:t xml:space="preserve"> </w:t>
            </w:r>
            <w:r w:rsidR="00C812BD">
              <w:rPr>
                <w:rFonts w:ascii="Times New Roman" w:hAnsi="Times New Roman" w:cs="Times New Roman"/>
                <w:sz w:val="24"/>
                <w:szCs w:val="24"/>
                <w:lang w:val="en-US"/>
              </w:rPr>
              <w:t>17</w:t>
            </w:r>
            <w:r w:rsidRPr="00DD04FE">
              <w:rPr>
                <w:rFonts w:ascii="Times New Roman" w:hAnsi="Times New Roman" w:cs="Times New Roman"/>
                <w:sz w:val="24"/>
                <w:szCs w:val="24"/>
                <w:lang w:val="en-US"/>
              </w:rPr>
              <w:t>, 2014, minutes of meeting No.19</w:t>
            </w:r>
            <w:r w:rsidR="00C812BD">
              <w:rPr>
                <w:rFonts w:ascii="Times New Roman" w:hAnsi="Times New Roman" w:cs="Times New Roman"/>
                <w:sz w:val="24"/>
                <w:szCs w:val="24"/>
                <w:lang w:val="en-US"/>
              </w:rPr>
              <w:t>9</w:t>
            </w:r>
            <w:r w:rsidRPr="00DD04FE">
              <w:rPr>
                <w:rFonts w:ascii="Times New Roman" w:hAnsi="Times New Roman" w:cs="Times New Roman"/>
                <w:sz w:val="24"/>
                <w:szCs w:val="24"/>
                <w:lang w:val="en-US"/>
              </w:rPr>
              <w:t>/2014</w:t>
            </w:r>
            <w:r w:rsidRPr="00DD04FE">
              <w:rPr>
                <w:rFonts w:ascii="Times New Roman" w:hAnsi="Times New Roman" w:cs="Times New Roman"/>
                <w:b/>
                <w:sz w:val="24"/>
                <w:szCs w:val="24"/>
                <w:lang w:val="en-US"/>
              </w:rPr>
              <w:t>.</w:t>
            </w:r>
          </w:p>
        </w:tc>
      </w:tr>
      <w:tr w:rsidR="00A4189D" w:rsidRPr="00DD04FE" w:rsidTr="008B313B">
        <w:tc>
          <w:tcPr>
            <w:tcW w:w="9782" w:type="dxa"/>
            <w:gridSpan w:val="2"/>
          </w:tcPr>
          <w:p w:rsidR="00A4189D" w:rsidRPr="00DD04FE" w:rsidRDefault="00A4189D" w:rsidP="0060069B">
            <w:pPr>
              <w:pStyle w:val="a3"/>
              <w:spacing w:before="60"/>
              <w:ind w:left="360"/>
              <w:jc w:val="both"/>
              <w:rPr>
                <w:rFonts w:ascii="Times New Roman" w:hAnsi="Times New Roman" w:cs="Times New Roman"/>
                <w:sz w:val="24"/>
                <w:szCs w:val="24"/>
              </w:rPr>
            </w:pPr>
            <w:r w:rsidRPr="00DD04FE">
              <w:rPr>
                <w:rFonts w:ascii="Times New Roman" w:hAnsi="Times New Roman" w:cs="Times New Roman"/>
                <w:sz w:val="24"/>
                <w:szCs w:val="24"/>
                <w:lang w:val="en-US"/>
              </w:rPr>
              <w:lastRenderedPageBreak/>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092812" w:rsidRPr="00DD04FE" w:rsidTr="008B313B">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DD04FE" w:rsidRDefault="00092812" w:rsidP="0060069B">
            <w:pPr>
              <w:spacing w:before="60"/>
              <w:ind w:left="57"/>
              <w:jc w:val="both"/>
              <w:rPr>
                <w:lang w:val="en-US" w:eastAsia="en-US"/>
              </w:rPr>
            </w:pPr>
            <w:r w:rsidRPr="00DD04FE">
              <w:rPr>
                <w:lang w:val="en-US" w:eastAsia="en-US"/>
              </w:rPr>
              <w:t xml:space="preserve">3.1 </w:t>
            </w:r>
            <w:r w:rsidR="006E66DB" w:rsidRPr="00DD04FE">
              <w:rPr>
                <w:lang w:val="en-US" w:eastAsia="en-US"/>
              </w:rPr>
              <w:t>D</w:t>
            </w:r>
            <w:r w:rsidRPr="00DD04FE">
              <w:rPr>
                <w:lang w:val="en-US" w:eastAsia="en-US"/>
              </w:rPr>
              <w:t xml:space="preserve">eputy director general in charge of corporate management (attorney dated </w:t>
            </w:r>
            <w:r w:rsidR="00A0622C" w:rsidRPr="00DD04FE">
              <w:rPr>
                <w:lang w:val="en-US" w:eastAsia="en-US"/>
              </w:rPr>
              <w:t>02.04.2014</w:t>
            </w:r>
            <w:r w:rsidRPr="00DD04FE">
              <w:rPr>
                <w:lang w:val="en-US" w:eastAsia="en-US"/>
              </w:rPr>
              <w:t>)</w:t>
            </w:r>
          </w:p>
          <w:p w:rsidR="00092812" w:rsidRPr="00DD04FE" w:rsidRDefault="00092812" w:rsidP="0060069B">
            <w:pPr>
              <w:spacing w:before="60"/>
              <w:ind w:left="57"/>
              <w:jc w:val="both"/>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DD04FE" w:rsidRDefault="00092812" w:rsidP="0060069B">
            <w:pPr>
              <w:spacing w:before="60"/>
              <w:jc w:val="both"/>
              <w:rPr>
                <w:lang w:val="en-US"/>
              </w:rPr>
            </w:pPr>
          </w:p>
          <w:p w:rsidR="00092812" w:rsidRPr="00DD04FE" w:rsidRDefault="00092812" w:rsidP="0060069B">
            <w:pPr>
              <w:spacing w:before="60"/>
              <w:jc w:val="both"/>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DD04FE" w:rsidRDefault="00092812" w:rsidP="0060069B">
            <w:pPr>
              <w:spacing w:before="60"/>
              <w:jc w:val="both"/>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DD04FE" w:rsidRDefault="00A0622C" w:rsidP="0060069B">
            <w:pPr>
              <w:spacing w:before="60"/>
              <w:ind w:right="-315"/>
              <w:jc w:val="both"/>
              <w:rPr>
                <w:lang w:val="en-US"/>
              </w:rPr>
            </w:pPr>
            <w:r w:rsidRPr="00DD04FE">
              <w:rPr>
                <w:lang w:val="en-US" w:eastAsia="en-US"/>
              </w:rPr>
              <w:t>Konevets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DD04FE" w:rsidRDefault="00092812" w:rsidP="0060069B">
            <w:pPr>
              <w:spacing w:before="60"/>
              <w:jc w:val="both"/>
              <w:rPr>
                <w:lang w:val="en-US"/>
              </w:rPr>
            </w:pPr>
          </w:p>
        </w:tc>
      </w:tr>
      <w:tr w:rsidR="00092812" w:rsidRPr="00DD04FE" w:rsidTr="008B313B">
        <w:trPr>
          <w:cantSplit/>
        </w:trPr>
        <w:tc>
          <w:tcPr>
            <w:tcW w:w="5812" w:type="dxa"/>
            <w:vMerge/>
            <w:tcBorders>
              <w:top w:val="single" w:sz="4" w:space="0" w:color="auto"/>
              <w:left w:val="single" w:sz="4" w:space="0" w:color="auto"/>
              <w:bottom w:val="nil"/>
              <w:right w:val="nil"/>
            </w:tcBorders>
            <w:vAlign w:val="center"/>
            <w:hideMark/>
          </w:tcPr>
          <w:p w:rsidR="00092812" w:rsidRPr="00DD04FE" w:rsidRDefault="00092812" w:rsidP="0060069B">
            <w:pPr>
              <w:autoSpaceDE/>
              <w:autoSpaceDN/>
              <w:spacing w:before="60"/>
              <w:jc w:val="both"/>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DD04FE" w:rsidRDefault="00092812" w:rsidP="0060069B">
            <w:pPr>
              <w:spacing w:before="60"/>
              <w:jc w:val="both"/>
              <w:rPr>
                <w:lang w:val="en-US"/>
              </w:rPr>
            </w:pPr>
            <w:r w:rsidRPr="00DD04FE">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DD04FE" w:rsidRDefault="00092812" w:rsidP="0060069B">
            <w:pPr>
              <w:spacing w:before="60"/>
              <w:jc w:val="both"/>
              <w:rPr>
                <w:lang w:val="en-US"/>
              </w:rPr>
            </w:pPr>
          </w:p>
        </w:tc>
        <w:tc>
          <w:tcPr>
            <w:tcW w:w="1842" w:type="dxa"/>
            <w:tcBorders>
              <w:top w:val="nil"/>
              <w:left w:val="nil"/>
              <w:bottom w:val="nil"/>
              <w:right w:val="nil"/>
            </w:tcBorders>
            <w:tcMar>
              <w:top w:w="0" w:type="dxa"/>
              <w:left w:w="28" w:type="dxa"/>
              <w:bottom w:w="0" w:type="dxa"/>
              <w:right w:w="28" w:type="dxa"/>
            </w:tcMar>
          </w:tcPr>
          <w:p w:rsidR="00092812" w:rsidRPr="00DD04FE" w:rsidRDefault="00092812" w:rsidP="0060069B">
            <w:pPr>
              <w:spacing w:before="60"/>
              <w:jc w:val="both"/>
              <w:rPr>
                <w:lang w:val="en-US"/>
              </w:rPr>
            </w:pPr>
          </w:p>
        </w:tc>
        <w:tc>
          <w:tcPr>
            <w:tcW w:w="287" w:type="dxa"/>
            <w:tcBorders>
              <w:top w:val="nil"/>
              <w:left w:val="nil"/>
              <w:bottom w:val="nil"/>
              <w:right w:val="single" w:sz="4" w:space="0" w:color="auto"/>
            </w:tcBorders>
            <w:tcMar>
              <w:top w:w="0" w:type="dxa"/>
              <w:left w:w="28" w:type="dxa"/>
              <w:bottom w:w="0" w:type="dxa"/>
              <w:right w:w="28" w:type="dxa"/>
            </w:tcMar>
          </w:tcPr>
          <w:p w:rsidR="00092812" w:rsidRPr="00DD04FE" w:rsidRDefault="00092812" w:rsidP="0060069B">
            <w:pPr>
              <w:spacing w:before="60"/>
              <w:jc w:val="both"/>
              <w:rPr>
                <w:lang w:val="en-US"/>
              </w:rPr>
            </w:pPr>
          </w:p>
        </w:tc>
      </w:tr>
      <w:tr w:rsidR="00092812" w:rsidRPr="00DD04FE" w:rsidTr="008B313B">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DD04FE" w:rsidRDefault="00092812" w:rsidP="0060069B">
            <w:pPr>
              <w:spacing w:before="60"/>
              <w:jc w:val="both"/>
              <w:rPr>
                <w:lang w:val="en-US" w:eastAsia="en-US"/>
              </w:rPr>
            </w:pPr>
            <w:r w:rsidRPr="00DD04FE">
              <w:rPr>
                <w:lang w:val="en-US" w:eastAsia="en-US"/>
              </w:rPr>
              <w:t xml:space="preserve">3.2 Date: </w:t>
            </w:r>
            <w:r w:rsidR="00C812BD">
              <w:rPr>
                <w:lang w:val="en-US" w:eastAsia="en-US"/>
              </w:rPr>
              <w:t>18</w:t>
            </w:r>
            <w:r w:rsidR="006C2A45" w:rsidRPr="00DD04FE">
              <w:rPr>
                <w:lang w:val="en-US" w:eastAsia="en-US"/>
              </w:rPr>
              <w:t xml:space="preserve"> </w:t>
            </w:r>
            <w:r w:rsidR="00C812BD">
              <w:rPr>
                <w:lang w:val="en-US" w:eastAsia="en-US"/>
              </w:rPr>
              <w:t>November</w:t>
            </w:r>
            <w:r w:rsidR="00CE0DEE" w:rsidRPr="00DD04FE">
              <w:rPr>
                <w:lang w:val="en-US"/>
              </w:rPr>
              <w:t xml:space="preserve"> </w:t>
            </w:r>
            <w:r w:rsidR="00850252" w:rsidRPr="00DD04FE">
              <w:rPr>
                <w:lang w:val="en-US"/>
              </w:rPr>
              <w:t>2014</w:t>
            </w:r>
          </w:p>
        </w:tc>
        <w:tc>
          <w:tcPr>
            <w:tcW w:w="1700" w:type="dxa"/>
            <w:tcBorders>
              <w:top w:val="nil"/>
              <w:left w:val="nil"/>
              <w:bottom w:val="nil"/>
              <w:right w:val="nil"/>
            </w:tcBorders>
            <w:tcMar>
              <w:top w:w="0" w:type="dxa"/>
              <w:left w:w="28" w:type="dxa"/>
              <w:bottom w:w="0" w:type="dxa"/>
              <w:right w:w="28" w:type="dxa"/>
            </w:tcMar>
            <w:vAlign w:val="bottom"/>
          </w:tcPr>
          <w:p w:rsidR="00092812" w:rsidRPr="00DD04FE" w:rsidRDefault="00092812" w:rsidP="0060069B">
            <w:pPr>
              <w:spacing w:before="60"/>
              <w:jc w:val="both"/>
              <w:rPr>
                <w:lang w:val="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DD04FE" w:rsidRDefault="00092812" w:rsidP="0060069B">
            <w:pPr>
              <w:spacing w:before="60"/>
              <w:jc w:val="both"/>
            </w:pPr>
          </w:p>
        </w:tc>
      </w:tr>
      <w:tr w:rsidR="00092812" w:rsidRPr="00DD04FE" w:rsidTr="008B313B">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DD04FE" w:rsidRDefault="00092812" w:rsidP="0060069B">
            <w:pPr>
              <w:spacing w:before="60"/>
              <w:jc w:val="both"/>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DD04FE" w:rsidRDefault="00910E92" w:rsidP="0060069B">
            <w:pPr>
              <w:spacing w:before="60"/>
              <w:jc w:val="both"/>
            </w:pPr>
            <w:r w:rsidRPr="00DD04FE">
              <w:rPr>
                <w:lang w:val="en-US"/>
              </w:rPr>
              <w:t>seal</w:t>
            </w:r>
            <w:r w:rsidR="00092812" w:rsidRPr="00DD04FE">
              <w:rPr>
                <w:lang w:val="en-US"/>
              </w:rPr>
              <w:t xml:space="preserve">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DD04FE" w:rsidRDefault="00092812" w:rsidP="0060069B">
            <w:pPr>
              <w:spacing w:before="60"/>
              <w:jc w:val="both"/>
            </w:pPr>
          </w:p>
        </w:tc>
      </w:tr>
    </w:tbl>
    <w:p w:rsidR="00092812" w:rsidRPr="00DD04FE" w:rsidRDefault="00092812" w:rsidP="0060069B">
      <w:pPr>
        <w:spacing w:before="60"/>
        <w:jc w:val="both"/>
        <w:rPr>
          <w:lang w:val="en-US"/>
        </w:rPr>
      </w:pPr>
    </w:p>
    <w:sectPr w:rsidR="00092812" w:rsidRPr="00DD04FE" w:rsidSect="008B313B">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B2BD1"/>
    <w:multiLevelType w:val="hybridMultilevel"/>
    <w:tmpl w:val="671AB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41B07F8"/>
    <w:multiLevelType w:val="hybridMultilevel"/>
    <w:tmpl w:val="3FA6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20E00"/>
    <w:multiLevelType w:val="multilevel"/>
    <w:tmpl w:val="3CE2F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3F23013"/>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9C4684"/>
    <w:multiLevelType w:val="hybridMultilevel"/>
    <w:tmpl w:val="7E70E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E17676"/>
    <w:multiLevelType w:val="multilevel"/>
    <w:tmpl w:val="3CE2F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6BE4996"/>
    <w:multiLevelType w:val="hybridMultilevel"/>
    <w:tmpl w:val="5E847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05A0579"/>
    <w:multiLevelType w:val="hybridMultilevel"/>
    <w:tmpl w:val="5C7C69E2"/>
    <w:lvl w:ilvl="0" w:tplc="9E7A3D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702D1D"/>
    <w:multiLevelType w:val="hybridMultilevel"/>
    <w:tmpl w:val="D2C2F348"/>
    <w:lvl w:ilvl="0" w:tplc="89D2C9F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5004D1C"/>
    <w:multiLevelType w:val="hybridMultilevel"/>
    <w:tmpl w:val="F4621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E200CE"/>
    <w:multiLevelType w:val="multilevel"/>
    <w:tmpl w:val="3CE2F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6202ED"/>
    <w:multiLevelType w:val="hybridMultilevel"/>
    <w:tmpl w:val="D4624974"/>
    <w:lvl w:ilvl="0" w:tplc="6582B45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404DCB"/>
    <w:multiLevelType w:val="multilevel"/>
    <w:tmpl w:val="377AA5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D775701"/>
    <w:multiLevelType w:val="hybridMultilevel"/>
    <w:tmpl w:val="39C45F56"/>
    <w:lvl w:ilvl="0" w:tplc="1B3409A4">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C32292"/>
    <w:multiLevelType w:val="multilevel"/>
    <w:tmpl w:val="3CE2F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8263A20"/>
    <w:multiLevelType w:val="hybridMultilevel"/>
    <w:tmpl w:val="69929028"/>
    <w:lvl w:ilvl="0" w:tplc="D428A96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564418"/>
    <w:multiLevelType w:val="hybridMultilevel"/>
    <w:tmpl w:val="4544BAA0"/>
    <w:lvl w:ilvl="0" w:tplc="200CBA9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FC1837"/>
    <w:multiLevelType w:val="hybridMultilevel"/>
    <w:tmpl w:val="B34263A0"/>
    <w:lvl w:ilvl="0" w:tplc="1A326756">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23"/>
  </w:num>
  <w:num w:numId="7">
    <w:abstractNumId w:val="5"/>
  </w:num>
  <w:num w:numId="8">
    <w:abstractNumId w:val="35"/>
  </w:num>
  <w:num w:numId="9">
    <w:abstractNumId w:val="2"/>
  </w:num>
  <w:num w:numId="10">
    <w:abstractNumId w:val="6"/>
  </w:num>
  <w:num w:numId="11">
    <w:abstractNumId w:val="7"/>
  </w:num>
  <w:num w:numId="12">
    <w:abstractNumId w:val="0"/>
  </w:num>
  <w:num w:numId="13">
    <w:abstractNumId w:val="11"/>
  </w:num>
  <w:num w:numId="14">
    <w:abstractNumId w:val="38"/>
  </w:num>
  <w:num w:numId="15">
    <w:abstractNumId w:val="21"/>
  </w:num>
  <w:num w:numId="16">
    <w:abstractNumId w:val="37"/>
  </w:num>
  <w:num w:numId="17">
    <w:abstractNumId w:val="15"/>
  </w:num>
  <w:num w:numId="18">
    <w:abstractNumId w:val="12"/>
  </w:num>
  <w:num w:numId="19">
    <w:abstractNumId w:val="30"/>
  </w:num>
  <w:num w:numId="20">
    <w:abstractNumId w:val="24"/>
  </w:num>
  <w:num w:numId="21">
    <w:abstractNumId w:val="4"/>
  </w:num>
  <w:num w:numId="22">
    <w:abstractNumId w:val="31"/>
  </w:num>
  <w:num w:numId="23">
    <w:abstractNumId w:val="25"/>
  </w:num>
  <w:num w:numId="24">
    <w:abstractNumId w:val="34"/>
  </w:num>
  <w:num w:numId="25">
    <w:abstractNumId w:val="39"/>
  </w:num>
  <w:num w:numId="26">
    <w:abstractNumId w:val="26"/>
  </w:num>
  <w:num w:numId="27">
    <w:abstractNumId w:val="18"/>
  </w:num>
  <w:num w:numId="28">
    <w:abstractNumId w:val="28"/>
  </w:num>
  <w:num w:numId="29">
    <w:abstractNumId w:val="3"/>
  </w:num>
  <w:num w:numId="30">
    <w:abstractNumId w:val="33"/>
  </w:num>
  <w:num w:numId="31">
    <w:abstractNumId w:val="14"/>
  </w:num>
  <w:num w:numId="32">
    <w:abstractNumId w:val="22"/>
  </w:num>
  <w:num w:numId="33">
    <w:abstractNumId w:val="9"/>
  </w:num>
  <w:num w:numId="34">
    <w:abstractNumId w:val="8"/>
  </w:num>
  <w:num w:numId="35">
    <w:abstractNumId w:val="13"/>
  </w:num>
  <w:num w:numId="36">
    <w:abstractNumId w:val="32"/>
  </w:num>
  <w:num w:numId="37">
    <w:abstractNumId w:val="27"/>
  </w:num>
  <w:num w:numId="38">
    <w:abstractNumId w:val="17"/>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05411"/>
    <w:rsid w:val="00007346"/>
    <w:rsid w:val="000123DC"/>
    <w:rsid w:val="000128A3"/>
    <w:rsid w:val="000149E8"/>
    <w:rsid w:val="00015EC8"/>
    <w:rsid w:val="000164A5"/>
    <w:rsid w:val="000218F6"/>
    <w:rsid w:val="0002272A"/>
    <w:rsid w:val="00032D68"/>
    <w:rsid w:val="00034B68"/>
    <w:rsid w:val="00035B31"/>
    <w:rsid w:val="00043C5F"/>
    <w:rsid w:val="000472B1"/>
    <w:rsid w:val="000501B4"/>
    <w:rsid w:val="000602C7"/>
    <w:rsid w:val="00061B14"/>
    <w:rsid w:val="00063CEA"/>
    <w:rsid w:val="00065AB4"/>
    <w:rsid w:val="00072E77"/>
    <w:rsid w:val="00074DC5"/>
    <w:rsid w:val="00075975"/>
    <w:rsid w:val="00085D68"/>
    <w:rsid w:val="00086EB4"/>
    <w:rsid w:val="000874AF"/>
    <w:rsid w:val="0009038C"/>
    <w:rsid w:val="00092812"/>
    <w:rsid w:val="00094A8E"/>
    <w:rsid w:val="000B287C"/>
    <w:rsid w:val="000C4DB2"/>
    <w:rsid w:val="000D057D"/>
    <w:rsid w:val="000D34C3"/>
    <w:rsid w:val="000D730D"/>
    <w:rsid w:val="000D7B87"/>
    <w:rsid w:val="000D7E85"/>
    <w:rsid w:val="000E2B5B"/>
    <w:rsid w:val="000E30EB"/>
    <w:rsid w:val="000E3262"/>
    <w:rsid w:val="000E3367"/>
    <w:rsid w:val="000E7330"/>
    <w:rsid w:val="000E74CC"/>
    <w:rsid w:val="000F46F4"/>
    <w:rsid w:val="0010170D"/>
    <w:rsid w:val="001127A6"/>
    <w:rsid w:val="00112BA1"/>
    <w:rsid w:val="00113C41"/>
    <w:rsid w:val="001266CA"/>
    <w:rsid w:val="00127108"/>
    <w:rsid w:val="00130631"/>
    <w:rsid w:val="00130F87"/>
    <w:rsid w:val="00131F9E"/>
    <w:rsid w:val="0013293F"/>
    <w:rsid w:val="00132B88"/>
    <w:rsid w:val="00151189"/>
    <w:rsid w:val="001516F9"/>
    <w:rsid w:val="00153B5E"/>
    <w:rsid w:val="001566BF"/>
    <w:rsid w:val="00161CC9"/>
    <w:rsid w:val="001670A9"/>
    <w:rsid w:val="00174F89"/>
    <w:rsid w:val="00184C6E"/>
    <w:rsid w:val="00185303"/>
    <w:rsid w:val="00192C80"/>
    <w:rsid w:val="00197772"/>
    <w:rsid w:val="001A1579"/>
    <w:rsid w:val="001A1B8B"/>
    <w:rsid w:val="001A2D03"/>
    <w:rsid w:val="001A2EA8"/>
    <w:rsid w:val="001B0007"/>
    <w:rsid w:val="001B08F6"/>
    <w:rsid w:val="001B15B5"/>
    <w:rsid w:val="001B1B8E"/>
    <w:rsid w:val="001C2E14"/>
    <w:rsid w:val="001D69E0"/>
    <w:rsid w:val="001E11FB"/>
    <w:rsid w:val="001E231D"/>
    <w:rsid w:val="001F0742"/>
    <w:rsid w:val="001F20A3"/>
    <w:rsid w:val="001F2453"/>
    <w:rsid w:val="001F3CF9"/>
    <w:rsid w:val="001F41EE"/>
    <w:rsid w:val="00214D90"/>
    <w:rsid w:val="00217C76"/>
    <w:rsid w:val="00220CEA"/>
    <w:rsid w:val="00224519"/>
    <w:rsid w:val="00231836"/>
    <w:rsid w:val="00244BB8"/>
    <w:rsid w:val="00251944"/>
    <w:rsid w:val="00253F18"/>
    <w:rsid w:val="00256B92"/>
    <w:rsid w:val="002570B7"/>
    <w:rsid w:val="002570FB"/>
    <w:rsid w:val="002654D7"/>
    <w:rsid w:val="0026651C"/>
    <w:rsid w:val="002667DA"/>
    <w:rsid w:val="00272A27"/>
    <w:rsid w:val="00274D41"/>
    <w:rsid w:val="00274D9E"/>
    <w:rsid w:val="00280A69"/>
    <w:rsid w:val="002863A9"/>
    <w:rsid w:val="0029136E"/>
    <w:rsid w:val="00291FAD"/>
    <w:rsid w:val="00292C8F"/>
    <w:rsid w:val="0029317B"/>
    <w:rsid w:val="002A0F59"/>
    <w:rsid w:val="002A3105"/>
    <w:rsid w:val="002A36E4"/>
    <w:rsid w:val="002B11A6"/>
    <w:rsid w:val="002B224D"/>
    <w:rsid w:val="002B7458"/>
    <w:rsid w:val="002C2AC0"/>
    <w:rsid w:val="002C2E36"/>
    <w:rsid w:val="002C4EB8"/>
    <w:rsid w:val="002D03A4"/>
    <w:rsid w:val="002D5EB8"/>
    <w:rsid w:val="002E2795"/>
    <w:rsid w:val="002E2D86"/>
    <w:rsid w:val="002E7E10"/>
    <w:rsid w:val="002F4055"/>
    <w:rsid w:val="002F466F"/>
    <w:rsid w:val="00300DAA"/>
    <w:rsid w:val="00304C16"/>
    <w:rsid w:val="00314249"/>
    <w:rsid w:val="003245CC"/>
    <w:rsid w:val="00330122"/>
    <w:rsid w:val="00335D7A"/>
    <w:rsid w:val="00335DA3"/>
    <w:rsid w:val="00335DFA"/>
    <w:rsid w:val="003404D8"/>
    <w:rsid w:val="003637F2"/>
    <w:rsid w:val="003668E4"/>
    <w:rsid w:val="00381593"/>
    <w:rsid w:val="00386117"/>
    <w:rsid w:val="0039230A"/>
    <w:rsid w:val="00394737"/>
    <w:rsid w:val="003A5DD2"/>
    <w:rsid w:val="003A71B0"/>
    <w:rsid w:val="003A78C3"/>
    <w:rsid w:val="003B3ED0"/>
    <w:rsid w:val="003D24FB"/>
    <w:rsid w:val="003D3406"/>
    <w:rsid w:val="003D546F"/>
    <w:rsid w:val="003D55BE"/>
    <w:rsid w:val="003E1AA8"/>
    <w:rsid w:val="003E3C47"/>
    <w:rsid w:val="003F07F1"/>
    <w:rsid w:val="003F0E75"/>
    <w:rsid w:val="00400719"/>
    <w:rsid w:val="00406B52"/>
    <w:rsid w:val="004134ED"/>
    <w:rsid w:val="004152AA"/>
    <w:rsid w:val="0041723A"/>
    <w:rsid w:val="00424460"/>
    <w:rsid w:val="00425A82"/>
    <w:rsid w:val="0043344F"/>
    <w:rsid w:val="00437460"/>
    <w:rsid w:val="00474066"/>
    <w:rsid w:val="00476FAD"/>
    <w:rsid w:val="00480DF2"/>
    <w:rsid w:val="00483D59"/>
    <w:rsid w:val="0049256A"/>
    <w:rsid w:val="00492CAD"/>
    <w:rsid w:val="004A0570"/>
    <w:rsid w:val="004A690C"/>
    <w:rsid w:val="004A792D"/>
    <w:rsid w:val="004B2EBB"/>
    <w:rsid w:val="004B6A15"/>
    <w:rsid w:val="004C2FD5"/>
    <w:rsid w:val="004E2032"/>
    <w:rsid w:val="004E2324"/>
    <w:rsid w:val="004E2980"/>
    <w:rsid w:val="00502B2F"/>
    <w:rsid w:val="00504339"/>
    <w:rsid w:val="005065EE"/>
    <w:rsid w:val="005152F8"/>
    <w:rsid w:val="00516D94"/>
    <w:rsid w:val="00527D4F"/>
    <w:rsid w:val="00542FCA"/>
    <w:rsid w:val="005479D4"/>
    <w:rsid w:val="005508C6"/>
    <w:rsid w:val="00554F3E"/>
    <w:rsid w:val="00560DB7"/>
    <w:rsid w:val="00561D4C"/>
    <w:rsid w:val="005673D4"/>
    <w:rsid w:val="00571024"/>
    <w:rsid w:val="00576485"/>
    <w:rsid w:val="005854EB"/>
    <w:rsid w:val="005859CE"/>
    <w:rsid w:val="005908CB"/>
    <w:rsid w:val="005A58DB"/>
    <w:rsid w:val="005B5D03"/>
    <w:rsid w:val="005B6212"/>
    <w:rsid w:val="005C4E67"/>
    <w:rsid w:val="005D1CC0"/>
    <w:rsid w:val="005D1D5D"/>
    <w:rsid w:val="005D3EFE"/>
    <w:rsid w:val="005D6325"/>
    <w:rsid w:val="005E4634"/>
    <w:rsid w:val="005F1DD2"/>
    <w:rsid w:val="005F250C"/>
    <w:rsid w:val="005F7513"/>
    <w:rsid w:val="0060069B"/>
    <w:rsid w:val="00611374"/>
    <w:rsid w:val="00613CA0"/>
    <w:rsid w:val="00631705"/>
    <w:rsid w:val="006403F4"/>
    <w:rsid w:val="006418FB"/>
    <w:rsid w:val="0064252D"/>
    <w:rsid w:val="00644E31"/>
    <w:rsid w:val="006470B5"/>
    <w:rsid w:val="00654777"/>
    <w:rsid w:val="00670239"/>
    <w:rsid w:val="00672161"/>
    <w:rsid w:val="00690F9B"/>
    <w:rsid w:val="006A6473"/>
    <w:rsid w:val="006B1E4A"/>
    <w:rsid w:val="006B3A0F"/>
    <w:rsid w:val="006B4D8B"/>
    <w:rsid w:val="006C2A45"/>
    <w:rsid w:val="006E66DB"/>
    <w:rsid w:val="006F68B6"/>
    <w:rsid w:val="006F7907"/>
    <w:rsid w:val="00701F02"/>
    <w:rsid w:val="00705271"/>
    <w:rsid w:val="0071069D"/>
    <w:rsid w:val="00710AF9"/>
    <w:rsid w:val="00710CFB"/>
    <w:rsid w:val="00712EC7"/>
    <w:rsid w:val="00722F8C"/>
    <w:rsid w:val="007336FF"/>
    <w:rsid w:val="00735E5E"/>
    <w:rsid w:val="00736C45"/>
    <w:rsid w:val="00753FA4"/>
    <w:rsid w:val="007567E3"/>
    <w:rsid w:val="00764289"/>
    <w:rsid w:val="007657AA"/>
    <w:rsid w:val="00766F7B"/>
    <w:rsid w:val="00781058"/>
    <w:rsid w:val="00784615"/>
    <w:rsid w:val="00785F9D"/>
    <w:rsid w:val="007A125D"/>
    <w:rsid w:val="007B2C7C"/>
    <w:rsid w:val="007B455D"/>
    <w:rsid w:val="007B4EB5"/>
    <w:rsid w:val="007B5326"/>
    <w:rsid w:val="007B612B"/>
    <w:rsid w:val="007C43B6"/>
    <w:rsid w:val="007C4577"/>
    <w:rsid w:val="007C7D94"/>
    <w:rsid w:val="007D0544"/>
    <w:rsid w:val="007D05D0"/>
    <w:rsid w:val="007D12B7"/>
    <w:rsid w:val="007D3C6E"/>
    <w:rsid w:val="007D3EA1"/>
    <w:rsid w:val="007D509D"/>
    <w:rsid w:val="007E1625"/>
    <w:rsid w:val="007E371B"/>
    <w:rsid w:val="007E4562"/>
    <w:rsid w:val="007E4BA4"/>
    <w:rsid w:val="007F5EDE"/>
    <w:rsid w:val="007F723F"/>
    <w:rsid w:val="008035BE"/>
    <w:rsid w:val="0080510F"/>
    <w:rsid w:val="00805515"/>
    <w:rsid w:val="00807159"/>
    <w:rsid w:val="00810A97"/>
    <w:rsid w:val="008128B9"/>
    <w:rsid w:val="00824801"/>
    <w:rsid w:val="008249C9"/>
    <w:rsid w:val="00826D04"/>
    <w:rsid w:val="00826D4A"/>
    <w:rsid w:val="00827600"/>
    <w:rsid w:val="00832EA1"/>
    <w:rsid w:val="00837906"/>
    <w:rsid w:val="00850252"/>
    <w:rsid w:val="00856C65"/>
    <w:rsid w:val="00863C19"/>
    <w:rsid w:val="00866BBC"/>
    <w:rsid w:val="00877A8B"/>
    <w:rsid w:val="00885D73"/>
    <w:rsid w:val="008860E4"/>
    <w:rsid w:val="00886FCC"/>
    <w:rsid w:val="00891E4F"/>
    <w:rsid w:val="0089584F"/>
    <w:rsid w:val="008B0470"/>
    <w:rsid w:val="008B313B"/>
    <w:rsid w:val="008B422B"/>
    <w:rsid w:val="008C2830"/>
    <w:rsid w:val="008C57F9"/>
    <w:rsid w:val="008C6D75"/>
    <w:rsid w:val="008C760A"/>
    <w:rsid w:val="008D08D4"/>
    <w:rsid w:val="008D0E24"/>
    <w:rsid w:val="008D0ED3"/>
    <w:rsid w:val="008D5552"/>
    <w:rsid w:val="008D5F4D"/>
    <w:rsid w:val="008E570D"/>
    <w:rsid w:val="008F4A66"/>
    <w:rsid w:val="008F779D"/>
    <w:rsid w:val="0090260E"/>
    <w:rsid w:val="00906D31"/>
    <w:rsid w:val="0090764B"/>
    <w:rsid w:val="00910E92"/>
    <w:rsid w:val="009178B5"/>
    <w:rsid w:val="00922F11"/>
    <w:rsid w:val="009236C1"/>
    <w:rsid w:val="00926BA4"/>
    <w:rsid w:val="009311D4"/>
    <w:rsid w:val="0093137C"/>
    <w:rsid w:val="00934DA8"/>
    <w:rsid w:val="00936C5C"/>
    <w:rsid w:val="009508B4"/>
    <w:rsid w:val="00950D2B"/>
    <w:rsid w:val="00950FD9"/>
    <w:rsid w:val="00952E8A"/>
    <w:rsid w:val="0095393F"/>
    <w:rsid w:val="00953AB4"/>
    <w:rsid w:val="0097151C"/>
    <w:rsid w:val="00975176"/>
    <w:rsid w:val="00981EC3"/>
    <w:rsid w:val="00982C1A"/>
    <w:rsid w:val="00985FD6"/>
    <w:rsid w:val="0099052A"/>
    <w:rsid w:val="00993BD4"/>
    <w:rsid w:val="0099612B"/>
    <w:rsid w:val="009A244D"/>
    <w:rsid w:val="009B07E5"/>
    <w:rsid w:val="009B6373"/>
    <w:rsid w:val="009B6402"/>
    <w:rsid w:val="009B6697"/>
    <w:rsid w:val="009B6AD1"/>
    <w:rsid w:val="009C216D"/>
    <w:rsid w:val="009C2C03"/>
    <w:rsid w:val="009C3A44"/>
    <w:rsid w:val="009C4E99"/>
    <w:rsid w:val="009C65B5"/>
    <w:rsid w:val="009D01E5"/>
    <w:rsid w:val="009D0E21"/>
    <w:rsid w:val="009E627A"/>
    <w:rsid w:val="009E6828"/>
    <w:rsid w:val="009F26ED"/>
    <w:rsid w:val="009F5BDC"/>
    <w:rsid w:val="00A0622C"/>
    <w:rsid w:val="00A1227D"/>
    <w:rsid w:val="00A1439F"/>
    <w:rsid w:val="00A17A22"/>
    <w:rsid w:val="00A17D2C"/>
    <w:rsid w:val="00A21965"/>
    <w:rsid w:val="00A23159"/>
    <w:rsid w:val="00A2358F"/>
    <w:rsid w:val="00A24D11"/>
    <w:rsid w:val="00A256A1"/>
    <w:rsid w:val="00A27B9A"/>
    <w:rsid w:val="00A3019D"/>
    <w:rsid w:val="00A317FF"/>
    <w:rsid w:val="00A32B89"/>
    <w:rsid w:val="00A33ACB"/>
    <w:rsid w:val="00A4189D"/>
    <w:rsid w:val="00A508E7"/>
    <w:rsid w:val="00A5174D"/>
    <w:rsid w:val="00A54452"/>
    <w:rsid w:val="00A60096"/>
    <w:rsid w:val="00A607B8"/>
    <w:rsid w:val="00A60A80"/>
    <w:rsid w:val="00A632F2"/>
    <w:rsid w:val="00A73BDB"/>
    <w:rsid w:val="00A80444"/>
    <w:rsid w:val="00A80737"/>
    <w:rsid w:val="00A82B01"/>
    <w:rsid w:val="00A84A7D"/>
    <w:rsid w:val="00A86E18"/>
    <w:rsid w:val="00A91E8D"/>
    <w:rsid w:val="00A9594F"/>
    <w:rsid w:val="00AA2F46"/>
    <w:rsid w:val="00AA453C"/>
    <w:rsid w:val="00AB3DD7"/>
    <w:rsid w:val="00AB7C6E"/>
    <w:rsid w:val="00AE042A"/>
    <w:rsid w:val="00AF51B0"/>
    <w:rsid w:val="00AF66C6"/>
    <w:rsid w:val="00B14632"/>
    <w:rsid w:val="00B171E4"/>
    <w:rsid w:val="00B31BB0"/>
    <w:rsid w:val="00B356D4"/>
    <w:rsid w:val="00B44C52"/>
    <w:rsid w:val="00B70BA7"/>
    <w:rsid w:val="00B74B00"/>
    <w:rsid w:val="00B75764"/>
    <w:rsid w:val="00B7590A"/>
    <w:rsid w:val="00B9493B"/>
    <w:rsid w:val="00BA7DAF"/>
    <w:rsid w:val="00BB0633"/>
    <w:rsid w:val="00BB07E3"/>
    <w:rsid w:val="00BB3FFE"/>
    <w:rsid w:val="00BB5572"/>
    <w:rsid w:val="00BC64A0"/>
    <w:rsid w:val="00BD2124"/>
    <w:rsid w:val="00BD2DCD"/>
    <w:rsid w:val="00BD678C"/>
    <w:rsid w:val="00BE56CC"/>
    <w:rsid w:val="00BE58AA"/>
    <w:rsid w:val="00BE7A16"/>
    <w:rsid w:val="00BE7BE8"/>
    <w:rsid w:val="00BF0920"/>
    <w:rsid w:val="00BF5909"/>
    <w:rsid w:val="00C04918"/>
    <w:rsid w:val="00C12E42"/>
    <w:rsid w:val="00C23519"/>
    <w:rsid w:val="00C24D89"/>
    <w:rsid w:val="00C31A59"/>
    <w:rsid w:val="00C4049A"/>
    <w:rsid w:val="00C47BC4"/>
    <w:rsid w:val="00C504CA"/>
    <w:rsid w:val="00C546ED"/>
    <w:rsid w:val="00C7255C"/>
    <w:rsid w:val="00C812BD"/>
    <w:rsid w:val="00C82691"/>
    <w:rsid w:val="00C850E5"/>
    <w:rsid w:val="00C9279E"/>
    <w:rsid w:val="00C950F6"/>
    <w:rsid w:val="00CA2763"/>
    <w:rsid w:val="00CB1BEB"/>
    <w:rsid w:val="00CB4D34"/>
    <w:rsid w:val="00CC244B"/>
    <w:rsid w:val="00CD7BA5"/>
    <w:rsid w:val="00CE0DEE"/>
    <w:rsid w:val="00CE5FD6"/>
    <w:rsid w:val="00CF022B"/>
    <w:rsid w:val="00CF514B"/>
    <w:rsid w:val="00D02854"/>
    <w:rsid w:val="00D109B2"/>
    <w:rsid w:val="00D140A0"/>
    <w:rsid w:val="00D15952"/>
    <w:rsid w:val="00D17963"/>
    <w:rsid w:val="00D22B53"/>
    <w:rsid w:val="00D27FE9"/>
    <w:rsid w:val="00D3014D"/>
    <w:rsid w:val="00D307EA"/>
    <w:rsid w:val="00D32DA1"/>
    <w:rsid w:val="00D404ED"/>
    <w:rsid w:val="00D52E3D"/>
    <w:rsid w:val="00D542E8"/>
    <w:rsid w:val="00D6362C"/>
    <w:rsid w:val="00D64912"/>
    <w:rsid w:val="00D82288"/>
    <w:rsid w:val="00D92A22"/>
    <w:rsid w:val="00D95201"/>
    <w:rsid w:val="00D97217"/>
    <w:rsid w:val="00DA061E"/>
    <w:rsid w:val="00DA635D"/>
    <w:rsid w:val="00DA63A2"/>
    <w:rsid w:val="00DB0EEA"/>
    <w:rsid w:val="00DB12D9"/>
    <w:rsid w:val="00DB7D87"/>
    <w:rsid w:val="00DC0ECC"/>
    <w:rsid w:val="00DC4696"/>
    <w:rsid w:val="00DC4A2B"/>
    <w:rsid w:val="00DD04FE"/>
    <w:rsid w:val="00DE5A3D"/>
    <w:rsid w:val="00DF7F75"/>
    <w:rsid w:val="00E0327D"/>
    <w:rsid w:val="00E11F9B"/>
    <w:rsid w:val="00E14463"/>
    <w:rsid w:val="00E2188C"/>
    <w:rsid w:val="00E225A2"/>
    <w:rsid w:val="00E263DF"/>
    <w:rsid w:val="00E316B0"/>
    <w:rsid w:val="00E342D4"/>
    <w:rsid w:val="00E35FDD"/>
    <w:rsid w:val="00E379C2"/>
    <w:rsid w:val="00E4443C"/>
    <w:rsid w:val="00E45FFB"/>
    <w:rsid w:val="00E528BE"/>
    <w:rsid w:val="00E5503C"/>
    <w:rsid w:val="00E75DE3"/>
    <w:rsid w:val="00E76012"/>
    <w:rsid w:val="00E81110"/>
    <w:rsid w:val="00E85975"/>
    <w:rsid w:val="00E865F9"/>
    <w:rsid w:val="00E87EC4"/>
    <w:rsid w:val="00E91EA4"/>
    <w:rsid w:val="00E92562"/>
    <w:rsid w:val="00E95512"/>
    <w:rsid w:val="00EA64B7"/>
    <w:rsid w:val="00EB3E9B"/>
    <w:rsid w:val="00EB6461"/>
    <w:rsid w:val="00EB7890"/>
    <w:rsid w:val="00EC1FEB"/>
    <w:rsid w:val="00EC414D"/>
    <w:rsid w:val="00ED0033"/>
    <w:rsid w:val="00ED09FB"/>
    <w:rsid w:val="00ED2D66"/>
    <w:rsid w:val="00EE3C3C"/>
    <w:rsid w:val="00EE4817"/>
    <w:rsid w:val="00EE50C3"/>
    <w:rsid w:val="00EE7D4D"/>
    <w:rsid w:val="00EF0A94"/>
    <w:rsid w:val="00EF1F0F"/>
    <w:rsid w:val="00EF3269"/>
    <w:rsid w:val="00EF6679"/>
    <w:rsid w:val="00F0277C"/>
    <w:rsid w:val="00F02F92"/>
    <w:rsid w:val="00F03CB1"/>
    <w:rsid w:val="00F06838"/>
    <w:rsid w:val="00F15BDF"/>
    <w:rsid w:val="00F16BEF"/>
    <w:rsid w:val="00F17CC3"/>
    <w:rsid w:val="00F30F48"/>
    <w:rsid w:val="00F34664"/>
    <w:rsid w:val="00F40DB7"/>
    <w:rsid w:val="00F41459"/>
    <w:rsid w:val="00F41C73"/>
    <w:rsid w:val="00F511D5"/>
    <w:rsid w:val="00F5481A"/>
    <w:rsid w:val="00F56028"/>
    <w:rsid w:val="00F57BC5"/>
    <w:rsid w:val="00F72038"/>
    <w:rsid w:val="00F72686"/>
    <w:rsid w:val="00F74969"/>
    <w:rsid w:val="00F75B03"/>
    <w:rsid w:val="00F82C04"/>
    <w:rsid w:val="00F839D6"/>
    <w:rsid w:val="00F83B08"/>
    <w:rsid w:val="00F854CD"/>
    <w:rsid w:val="00FB34F4"/>
    <w:rsid w:val="00FC433D"/>
    <w:rsid w:val="00FC47A0"/>
    <w:rsid w:val="00FC7265"/>
    <w:rsid w:val="00FD05DD"/>
    <w:rsid w:val="00FE300D"/>
    <w:rsid w:val="00FF1A16"/>
    <w:rsid w:val="00FF1D1E"/>
    <w:rsid w:val="00FF3023"/>
    <w:rsid w:val="00FF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92812"/>
    <w:pPr>
      <w:spacing w:after="0" w:line="240" w:lineRule="auto"/>
    </w:pPr>
  </w:style>
  <w:style w:type="table" w:styleId="a5">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92812"/>
    <w:rPr>
      <w:color w:val="0000FF" w:themeColor="hyperlink"/>
      <w:u w:val="single"/>
    </w:rPr>
  </w:style>
  <w:style w:type="paragraph" w:styleId="a7">
    <w:name w:val="Normal (Web)"/>
    <w:basedOn w:val="a"/>
    <w:uiPriority w:val="99"/>
    <w:unhideWhenUsed/>
    <w:rsid w:val="00092812"/>
    <w:pPr>
      <w:autoSpaceDE/>
      <w:autoSpaceDN/>
      <w:spacing w:before="100" w:beforeAutospacing="1" w:after="100" w:afterAutospacing="1"/>
    </w:pPr>
  </w:style>
  <w:style w:type="paragraph" w:styleId="a8">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9">
    <w:name w:val="Strong"/>
    <w:basedOn w:val="a0"/>
    <w:uiPriority w:val="22"/>
    <w:qFormat/>
    <w:rsid w:val="00C23519"/>
    <w:rPr>
      <w:b/>
      <w:bCs/>
    </w:rPr>
  </w:style>
  <w:style w:type="character" w:customStyle="1" w:styleId="a4">
    <w:name w:val="Без интервала Знак"/>
    <w:link w:val="a3"/>
    <w:uiPriority w:val="1"/>
    <w:locked/>
    <w:rsid w:val="00C85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92812"/>
    <w:pPr>
      <w:spacing w:after="0" w:line="240" w:lineRule="auto"/>
    </w:pPr>
  </w:style>
  <w:style w:type="table" w:styleId="a5">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92812"/>
    <w:rPr>
      <w:color w:val="0000FF" w:themeColor="hyperlink"/>
      <w:u w:val="single"/>
    </w:rPr>
  </w:style>
  <w:style w:type="paragraph" w:styleId="a7">
    <w:name w:val="Normal (Web)"/>
    <w:basedOn w:val="a"/>
    <w:uiPriority w:val="99"/>
    <w:unhideWhenUsed/>
    <w:rsid w:val="00092812"/>
    <w:pPr>
      <w:autoSpaceDE/>
      <w:autoSpaceDN/>
      <w:spacing w:before="100" w:beforeAutospacing="1" w:after="100" w:afterAutospacing="1"/>
    </w:pPr>
  </w:style>
  <w:style w:type="paragraph" w:styleId="a8">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9">
    <w:name w:val="Strong"/>
    <w:basedOn w:val="a0"/>
    <w:uiPriority w:val="22"/>
    <w:qFormat/>
    <w:rsid w:val="00C23519"/>
    <w:rPr>
      <w:b/>
      <w:bCs/>
    </w:rPr>
  </w:style>
  <w:style w:type="character" w:customStyle="1" w:styleId="a4">
    <w:name w:val="Без интервала Знак"/>
    <w:link w:val="a3"/>
    <w:uiPriority w:val="1"/>
    <w:locked/>
    <w:rsid w:val="00C8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DF3030-2848-46F3-9BF4-22A3F467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3906</TotalTime>
  <Pages>6</Pages>
  <Words>2584</Words>
  <Characters>14733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Maria</cp:lastModifiedBy>
  <cp:revision>493</cp:revision>
  <dcterms:created xsi:type="dcterms:W3CDTF">2013-09-10T08:51:00Z</dcterms:created>
  <dcterms:modified xsi:type="dcterms:W3CDTF">2014-12-01T13:15:00Z</dcterms:modified>
</cp:coreProperties>
</file>