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812" w:rsidRPr="00A22FA3" w:rsidRDefault="00092812" w:rsidP="0060069B">
      <w:pPr>
        <w:pStyle w:val="a3"/>
        <w:spacing w:before="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2FA3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092812" w:rsidRPr="0046627B" w:rsidRDefault="00092812" w:rsidP="0046627B">
      <w:pPr>
        <w:pStyle w:val="a3"/>
        <w:spacing w:before="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2FA3">
        <w:rPr>
          <w:rFonts w:ascii="Times New Roman" w:hAnsi="Times New Roman" w:cs="Times New Roman"/>
          <w:b/>
          <w:bCs/>
          <w:sz w:val="24"/>
          <w:szCs w:val="24"/>
          <w:lang w:val="en-US"/>
        </w:rPr>
        <w:t>“On decisions adopted by the Issuer’s Board of Directors”</w:t>
      </w:r>
      <w:r w:rsidR="0046627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bookmarkStart w:id="0" w:name="_GoBack"/>
      <w:bookmarkEnd w:id="0"/>
      <w:r w:rsidRPr="00A22FA3">
        <w:rPr>
          <w:rFonts w:ascii="Times New Roman" w:hAnsi="Times New Roman" w:cs="Times New Roman"/>
          <w:b/>
          <w:bCs/>
          <w:sz w:val="24"/>
          <w:szCs w:val="24"/>
          <w:lang w:val="en-US"/>
        </w:rPr>
        <w:t>(disclosure of inside information)</w:t>
      </w:r>
    </w:p>
    <w:tbl>
      <w:tblPr>
        <w:tblStyle w:val="a5"/>
        <w:tblW w:w="10349" w:type="dxa"/>
        <w:tblInd w:w="-743" w:type="dxa"/>
        <w:tblLook w:val="04A0" w:firstRow="1" w:lastRow="0" w:firstColumn="1" w:lastColumn="0" w:noHBand="0" w:noVBand="1"/>
      </w:tblPr>
      <w:tblGrid>
        <w:gridCol w:w="4395"/>
        <w:gridCol w:w="5954"/>
      </w:tblGrid>
      <w:tr w:rsidR="00092812" w:rsidRPr="00A22FA3" w:rsidTr="0046627B">
        <w:tc>
          <w:tcPr>
            <w:tcW w:w="10349" w:type="dxa"/>
            <w:gridSpan w:val="2"/>
          </w:tcPr>
          <w:p w:rsidR="00092812" w:rsidRPr="00A22FA3" w:rsidRDefault="00092812" w:rsidP="0060069B">
            <w:pPr>
              <w:pStyle w:val="a3"/>
              <w:numPr>
                <w:ilvl w:val="0"/>
                <w:numId w:val="1"/>
              </w:num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092812" w:rsidRPr="006F7430" w:rsidTr="0046627B">
        <w:trPr>
          <w:trHeight w:val="599"/>
        </w:trPr>
        <w:tc>
          <w:tcPr>
            <w:tcW w:w="4395" w:type="dxa"/>
          </w:tcPr>
          <w:p w:rsidR="00092812" w:rsidRPr="00A22FA3" w:rsidRDefault="00092812" w:rsidP="006006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FA3">
              <w:rPr>
                <w:rFonts w:ascii="Times New Roman" w:hAnsi="Times New Roman" w:cs="Times New Roman"/>
                <w:sz w:val="24"/>
                <w:szCs w:val="24"/>
              </w:rPr>
              <w:t xml:space="preserve">1.1  </w:t>
            </w:r>
            <w:r w:rsidRPr="00A2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A22FA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A2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5954" w:type="dxa"/>
          </w:tcPr>
          <w:p w:rsidR="00092812" w:rsidRPr="00A22FA3" w:rsidRDefault="00092812" w:rsidP="006006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 joint-stock company of Power and Electrification of Kuban</w:t>
            </w:r>
          </w:p>
        </w:tc>
      </w:tr>
      <w:tr w:rsidR="00092812" w:rsidRPr="00A22FA3" w:rsidTr="0046627B">
        <w:tc>
          <w:tcPr>
            <w:tcW w:w="4395" w:type="dxa"/>
          </w:tcPr>
          <w:p w:rsidR="00092812" w:rsidRPr="00A22FA3" w:rsidRDefault="00092812" w:rsidP="006006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FA3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A2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A22FA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A2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5954" w:type="dxa"/>
          </w:tcPr>
          <w:p w:rsidR="00092812" w:rsidRPr="00A22FA3" w:rsidRDefault="00092812" w:rsidP="006006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“Kubanenergo”, JSC</w:t>
            </w:r>
          </w:p>
        </w:tc>
      </w:tr>
      <w:tr w:rsidR="00092812" w:rsidRPr="006F7430" w:rsidTr="0046627B">
        <w:tc>
          <w:tcPr>
            <w:tcW w:w="4395" w:type="dxa"/>
          </w:tcPr>
          <w:p w:rsidR="00092812" w:rsidRPr="00A22FA3" w:rsidRDefault="00092812" w:rsidP="006006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A3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A2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5954" w:type="dxa"/>
          </w:tcPr>
          <w:p w:rsidR="00092812" w:rsidRPr="00A22FA3" w:rsidRDefault="00092812" w:rsidP="0060069B">
            <w:pPr>
              <w:jc w:val="both"/>
              <w:rPr>
                <w:lang w:val="en-US" w:eastAsia="en-US"/>
              </w:rPr>
            </w:pPr>
            <w:r w:rsidRPr="00A22FA3">
              <w:rPr>
                <w:lang w:val="en-US" w:eastAsia="en-US"/>
              </w:rPr>
              <w:t xml:space="preserve">2, </w:t>
            </w:r>
            <w:proofErr w:type="spellStart"/>
            <w:r w:rsidRPr="00A22FA3">
              <w:rPr>
                <w:lang w:val="en-US" w:eastAsia="en-US"/>
              </w:rPr>
              <w:t>Stavropolskaya</w:t>
            </w:r>
            <w:proofErr w:type="spellEnd"/>
            <w:r w:rsidRPr="00A22FA3">
              <w:rPr>
                <w:lang w:val="en-US" w:eastAsia="en-US"/>
              </w:rPr>
              <w:t xml:space="preserve"> str., Krasnodar, Russian federation, 350033</w:t>
            </w:r>
          </w:p>
        </w:tc>
      </w:tr>
      <w:tr w:rsidR="00092812" w:rsidRPr="00A22FA3" w:rsidTr="0046627B">
        <w:tc>
          <w:tcPr>
            <w:tcW w:w="4395" w:type="dxa"/>
          </w:tcPr>
          <w:p w:rsidR="00092812" w:rsidRPr="00A22FA3" w:rsidRDefault="00092812" w:rsidP="006006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A3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 w:rsidRPr="00A2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5954" w:type="dxa"/>
          </w:tcPr>
          <w:p w:rsidR="00092812" w:rsidRPr="00A22FA3" w:rsidRDefault="00092812" w:rsidP="006006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FA3">
              <w:rPr>
                <w:rFonts w:ascii="Times New Roman" w:hAnsi="Times New Roman" w:cs="Times New Roman"/>
                <w:sz w:val="24"/>
                <w:szCs w:val="24"/>
              </w:rPr>
              <w:t>1022301427268</w:t>
            </w:r>
          </w:p>
        </w:tc>
      </w:tr>
      <w:tr w:rsidR="00092812" w:rsidRPr="00A22FA3" w:rsidTr="0046627B">
        <w:trPr>
          <w:trHeight w:val="521"/>
        </w:trPr>
        <w:tc>
          <w:tcPr>
            <w:tcW w:w="4395" w:type="dxa"/>
          </w:tcPr>
          <w:p w:rsidR="00092812" w:rsidRPr="00A22FA3" w:rsidRDefault="00092812" w:rsidP="006006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A3"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 w:rsidRPr="00A2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5954" w:type="dxa"/>
          </w:tcPr>
          <w:p w:rsidR="00092812" w:rsidRPr="00A22FA3" w:rsidRDefault="00092812" w:rsidP="006006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FA3">
              <w:rPr>
                <w:rFonts w:ascii="Times New Roman" w:hAnsi="Times New Roman" w:cs="Times New Roman"/>
                <w:sz w:val="24"/>
                <w:szCs w:val="24"/>
              </w:rPr>
              <w:t>2309001660</w:t>
            </w:r>
          </w:p>
        </w:tc>
      </w:tr>
      <w:tr w:rsidR="00092812" w:rsidRPr="00A22FA3" w:rsidTr="0046627B">
        <w:tc>
          <w:tcPr>
            <w:tcW w:w="4395" w:type="dxa"/>
          </w:tcPr>
          <w:p w:rsidR="00092812" w:rsidRPr="00A22FA3" w:rsidRDefault="00092812" w:rsidP="006006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Issuer’s unique code given by registering authority</w:t>
            </w:r>
          </w:p>
        </w:tc>
        <w:tc>
          <w:tcPr>
            <w:tcW w:w="5954" w:type="dxa"/>
          </w:tcPr>
          <w:p w:rsidR="00092812" w:rsidRPr="00A22FA3" w:rsidRDefault="00092812" w:rsidP="006006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A3">
              <w:rPr>
                <w:rFonts w:ascii="Times New Roman" w:hAnsi="Times New Roman" w:cs="Times New Roman"/>
                <w:sz w:val="24"/>
                <w:szCs w:val="24"/>
              </w:rPr>
              <w:t>00063-</w:t>
            </w:r>
            <w:r w:rsidRPr="00A2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092812" w:rsidRPr="006F7430" w:rsidTr="0046627B">
        <w:tc>
          <w:tcPr>
            <w:tcW w:w="4395" w:type="dxa"/>
          </w:tcPr>
          <w:p w:rsidR="00092812" w:rsidRPr="00A22FA3" w:rsidRDefault="00092812" w:rsidP="006006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A3">
              <w:rPr>
                <w:rFonts w:ascii="Times New Roman" w:hAnsi="Times New Roman" w:cs="Times New Roman"/>
                <w:sz w:val="24"/>
                <w:szCs w:val="24"/>
              </w:rPr>
              <w:t xml:space="preserve">1.7. </w:t>
            </w:r>
            <w:r w:rsidRPr="00A2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Web-page</w:t>
            </w:r>
          </w:p>
        </w:tc>
        <w:tc>
          <w:tcPr>
            <w:tcW w:w="5954" w:type="dxa"/>
          </w:tcPr>
          <w:p w:rsidR="00910E92" w:rsidRPr="00A22FA3" w:rsidRDefault="0046627B" w:rsidP="006006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910E92" w:rsidRPr="00A22FA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</w:p>
          <w:p w:rsidR="00092812" w:rsidRPr="00A22FA3" w:rsidRDefault="0046627B" w:rsidP="006006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092812" w:rsidRPr="00A22FA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092812" w:rsidRPr="00A22FA3" w:rsidTr="0046627B">
        <w:tc>
          <w:tcPr>
            <w:tcW w:w="10349" w:type="dxa"/>
            <w:gridSpan w:val="2"/>
          </w:tcPr>
          <w:p w:rsidR="00092812" w:rsidRPr="00A22FA3" w:rsidRDefault="00092812" w:rsidP="0060069B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before="60"/>
              <w:jc w:val="both"/>
              <w:rPr>
                <w:b/>
                <w:bCs/>
                <w:lang w:val="en-US" w:eastAsia="en-US"/>
              </w:rPr>
            </w:pPr>
            <w:r w:rsidRPr="00A22FA3">
              <w:rPr>
                <w:lang w:val="en-US" w:eastAsia="en-US"/>
              </w:rPr>
              <w:t>2. Statement content</w:t>
            </w:r>
          </w:p>
        </w:tc>
      </w:tr>
      <w:tr w:rsidR="00092812" w:rsidRPr="006F7430" w:rsidTr="0046627B">
        <w:trPr>
          <w:trHeight w:val="2775"/>
        </w:trPr>
        <w:tc>
          <w:tcPr>
            <w:tcW w:w="10349" w:type="dxa"/>
            <w:gridSpan w:val="2"/>
          </w:tcPr>
          <w:p w:rsidR="00092812" w:rsidRPr="00A22FA3" w:rsidRDefault="00092812" w:rsidP="0060069B">
            <w:pPr>
              <w:tabs>
                <w:tab w:val="left" w:pos="284"/>
              </w:tabs>
              <w:spacing w:before="60"/>
              <w:jc w:val="both"/>
              <w:rPr>
                <w:b/>
                <w:lang w:val="en-US"/>
              </w:rPr>
            </w:pPr>
            <w:r w:rsidRPr="00A22FA3">
              <w:rPr>
                <w:b/>
                <w:lang w:val="en-US"/>
              </w:rPr>
              <w:t>2.1 Quorum of meeting of issuer’s BoD and results of voting on the adopted decisions:</w:t>
            </w:r>
          </w:p>
          <w:p w:rsidR="00092812" w:rsidRPr="00A22FA3" w:rsidRDefault="00092812" w:rsidP="0060069B">
            <w:pPr>
              <w:widowControl w:val="0"/>
              <w:spacing w:before="60"/>
              <w:jc w:val="both"/>
              <w:rPr>
                <w:lang w:val="en-US"/>
              </w:rPr>
            </w:pPr>
            <w:r w:rsidRPr="00A22FA3">
              <w:rPr>
                <w:lang w:val="en-US"/>
              </w:rPr>
              <w:t>Number of BoD members: 11 persons</w:t>
            </w:r>
          </w:p>
          <w:p w:rsidR="00092812" w:rsidRPr="00A22FA3" w:rsidRDefault="00092812" w:rsidP="0060069B">
            <w:pPr>
              <w:tabs>
                <w:tab w:val="left" w:pos="284"/>
              </w:tabs>
              <w:spacing w:before="60"/>
              <w:jc w:val="both"/>
              <w:rPr>
                <w:lang w:val="en-US"/>
              </w:rPr>
            </w:pPr>
            <w:r w:rsidRPr="00A22FA3">
              <w:rPr>
                <w:lang w:val="en-US"/>
              </w:rPr>
              <w:t xml:space="preserve">Member participated in the meeting: </w:t>
            </w:r>
            <w:r w:rsidR="00032D68" w:rsidRPr="00A22FA3">
              <w:rPr>
                <w:lang w:val="en-US"/>
              </w:rPr>
              <w:t>1</w:t>
            </w:r>
            <w:r w:rsidR="00592012" w:rsidRPr="00A22FA3">
              <w:rPr>
                <w:lang w:val="en-US"/>
              </w:rPr>
              <w:t>1</w:t>
            </w:r>
            <w:r w:rsidRPr="00A22FA3">
              <w:rPr>
                <w:lang w:val="en-US"/>
              </w:rPr>
              <w:t xml:space="preserve"> persons </w:t>
            </w:r>
          </w:p>
          <w:p w:rsidR="00092812" w:rsidRPr="00A22FA3" w:rsidRDefault="00092812" w:rsidP="0060069B">
            <w:pPr>
              <w:tabs>
                <w:tab w:val="left" w:pos="284"/>
              </w:tabs>
              <w:spacing w:before="60"/>
              <w:jc w:val="both"/>
              <w:rPr>
                <w:lang w:val="en-US"/>
              </w:rPr>
            </w:pPr>
            <w:r w:rsidRPr="00A22FA3">
              <w:rPr>
                <w:lang w:val="en-US"/>
              </w:rPr>
              <w:t>Quorum necessary for holding the meeting of Kubanenergo JSC Board of Directors is present.</w:t>
            </w:r>
          </w:p>
          <w:p w:rsidR="00092812" w:rsidRPr="00A22FA3" w:rsidRDefault="00092812" w:rsidP="0060069B">
            <w:pPr>
              <w:pStyle w:val="a3"/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Voting results: 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29"/>
              <w:gridCol w:w="1843"/>
              <w:gridCol w:w="1985"/>
              <w:gridCol w:w="2161"/>
            </w:tblGrid>
            <w:tr w:rsidR="00592012" w:rsidRPr="006F7430" w:rsidTr="005338B2">
              <w:trPr>
                <w:jc w:val="center"/>
              </w:trPr>
              <w:tc>
                <w:tcPr>
                  <w:tcW w:w="1129" w:type="dxa"/>
                  <w:vMerge w:val="restart"/>
                </w:tcPr>
                <w:p w:rsidR="00592012" w:rsidRPr="00A22FA3" w:rsidRDefault="00592012" w:rsidP="005338B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22FA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5989" w:type="dxa"/>
                  <w:gridSpan w:val="3"/>
                </w:tcPr>
                <w:p w:rsidR="00592012" w:rsidRPr="00A22FA3" w:rsidRDefault="00592012" w:rsidP="005338B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22FA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592012" w:rsidRPr="006F7430" w:rsidTr="005338B2">
              <w:trPr>
                <w:jc w:val="center"/>
              </w:trPr>
              <w:tc>
                <w:tcPr>
                  <w:tcW w:w="1129" w:type="dxa"/>
                  <w:vMerge/>
                </w:tcPr>
                <w:p w:rsidR="00592012" w:rsidRPr="00A22FA3" w:rsidRDefault="00592012" w:rsidP="005338B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43" w:type="dxa"/>
                </w:tcPr>
                <w:p w:rsidR="00592012" w:rsidRPr="00A22FA3" w:rsidRDefault="00592012" w:rsidP="005338B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A22FA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985" w:type="dxa"/>
                </w:tcPr>
                <w:p w:rsidR="00592012" w:rsidRPr="00A22FA3" w:rsidRDefault="00FB198F" w:rsidP="005338B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22FA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161" w:type="dxa"/>
                </w:tcPr>
                <w:p w:rsidR="00592012" w:rsidRPr="00A22FA3" w:rsidRDefault="00FB198F" w:rsidP="005338B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22FA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B2583B" w:rsidRPr="006F7430" w:rsidTr="005338B2">
              <w:trPr>
                <w:jc w:val="center"/>
              </w:trPr>
              <w:tc>
                <w:tcPr>
                  <w:tcW w:w="1129" w:type="dxa"/>
                </w:tcPr>
                <w:p w:rsidR="00B2583B" w:rsidRPr="00A22FA3" w:rsidRDefault="00B2583B" w:rsidP="005338B2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A22FA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B2583B" w:rsidRPr="00A22FA3" w:rsidRDefault="00B2583B" w:rsidP="006F7430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A22FA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</w:t>
                  </w:r>
                  <w:r w:rsidR="006F743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1985" w:type="dxa"/>
                </w:tcPr>
                <w:p w:rsidR="00B2583B" w:rsidRPr="00A22FA3" w:rsidRDefault="00B2583B" w:rsidP="00EE01D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161" w:type="dxa"/>
                </w:tcPr>
                <w:p w:rsidR="00B2583B" w:rsidRPr="00A22FA3" w:rsidRDefault="006F7430" w:rsidP="00EE01D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</w:tbl>
          <w:p w:rsidR="00592012" w:rsidRPr="00A22FA3" w:rsidRDefault="00592012" w:rsidP="0060069B">
            <w:pPr>
              <w:tabs>
                <w:tab w:val="left" w:pos="3355"/>
              </w:tabs>
              <w:jc w:val="both"/>
              <w:rPr>
                <w:lang w:val="en-US" w:eastAsia="en-US"/>
              </w:rPr>
            </w:pPr>
          </w:p>
        </w:tc>
      </w:tr>
      <w:tr w:rsidR="00092812" w:rsidRPr="006F7430" w:rsidTr="0046627B">
        <w:tc>
          <w:tcPr>
            <w:tcW w:w="10349" w:type="dxa"/>
            <w:gridSpan w:val="2"/>
          </w:tcPr>
          <w:p w:rsidR="00092812" w:rsidRPr="00A22FA3" w:rsidRDefault="00092812" w:rsidP="006F7430">
            <w:pPr>
              <w:tabs>
                <w:tab w:val="left" w:pos="426"/>
                <w:tab w:val="left" w:pos="993"/>
              </w:tabs>
              <w:jc w:val="both"/>
              <w:rPr>
                <w:b/>
                <w:lang w:val="en-US"/>
              </w:rPr>
            </w:pPr>
            <w:r w:rsidRPr="00A22FA3">
              <w:rPr>
                <w:b/>
                <w:lang w:val="en-US"/>
              </w:rPr>
              <w:t>Di</w:t>
            </w:r>
            <w:r w:rsidR="00C7255C" w:rsidRPr="00A22FA3">
              <w:rPr>
                <w:b/>
                <w:lang w:val="en-US"/>
              </w:rPr>
              <w:t>sclosure of insider information</w:t>
            </w:r>
            <w:r w:rsidR="00910E92" w:rsidRPr="00A22FA3">
              <w:rPr>
                <w:b/>
                <w:lang w:val="en-US"/>
              </w:rPr>
              <w:t xml:space="preserve"> o</w:t>
            </w:r>
            <w:r w:rsidRPr="00A22FA3">
              <w:rPr>
                <w:b/>
                <w:lang w:val="en-US"/>
              </w:rPr>
              <w:t>n item No.</w:t>
            </w:r>
            <w:r w:rsidR="00F15BDF" w:rsidRPr="00A22FA3">
              <w:rPr>
                <w:b/>
                <w:lang w:val="en-US"/>
              </w:rPr>
              <w:t xml:space="preserve"> </w:t>
            </w:r>
            <w:r w:rsidRPr="00A22FA3">
              <w:rPr>
                <w:b/>
                <w:lang w:val="en-US"/>
              </w:rPr>
              <w:t>1 “</w:t>
            </w:r>
            <w:r w:rsidR="006F7430" w:rsidRPr="006F7430">
              <w:rPr>
                <w:b/>
                <w:color w:val="000000"/>
                <w:lang w:val="en-US"/>
              </w:rPr>
              <w:t>Consideration of report prepared by Director general on cause of degradation of financial and economic performance of the Company and measures taken in the 4</w:t>
            </w:r>
            <w:r w:rsidR="006F7430" w:rsidRPr="006F7430">
              <w:rPr>
                <w:b/>
                <w:color w:val="000000"/>
                <w:vertAlign w:val="superscript"/>
                <w:lang w:val="en-US"/>
              </w:rPr>
              <w:t>th</w:t>
            </w:r>
            <w:r w:rsidR="006F7430" w:rsidRPr="006F7430">
              <w:rPr>
                <w:b/>
                <w:color w:val="000000"/>
                <w:lang w:val="en-US"/>
              </w:rPr>
              <w:t xml:space="preserve"> quarter of 2014 and in the 1</w:t>
            </w:r>
            <w:r w:rsidR="006F7430" w:rsidRPr="006F7430">
              <w:rPr>
                <w:b/>
                <w:color w:val="000000"/>
                <w:vertAlign w:val="superscript"/>
                <w:lang w:val="en-US"/>
              </w:rPr>
              <w:t>st</w:t>
            </w:r>
            <w:r w:rsidR="006F7430" w:rsidRPr="006F7430">
              <w:rPr>
                <w:b/>
                <w:color w:val="000000"/>
                <w:lang w:val="en-US"/>
              </w:rPr>
              <w:t xml:space="preserve"> quarter of 2015 to provide financial stability of the Company</w:t>
            </w:r>
            <w:r w:rsidRPr="006F7430">
              <w:rPr>
                <w:b/>
                <w:lang w:val="en-US"/>
              </w:rPr>
              <w:t>”</w:t>
            </w:r>
            <w:r w:rsidR="006B1E4A" w:rsidRPr="006F7430">
              <w:rPr>
                <w:b/>
                <w:lang w:val="en-US"/>
              </w:rPr>
              <w:t>.</w:t>
            </w:r>
          </w:p>
        </w:tc>
      </w:tr>
      <w:tr w:rsidR="00092812" w:rsidRPr="006F7430" w:rsidTr="0046627B">
        <w:tc>
          <w:tcPr>
            <w:tcW w:w="10349" w:type="dxa"/>
            <w:gridSpan w:val="2"/>
          </w:tcPr>
          <w:p w:rsidR="00092812" w:rsidRPr="00A22FA3" w:rsidRDefault="00092812" w:rsidP="0060069B">
            <w:pPr>
              <w:pStyle w:val="a3"/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2.2.1. </w:t>
            </w:r>
            <w:r w:rsidR="00CE0DEE" w:rsidRPr="00A2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Pr="00A2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ecision adopted by issuer’s Board of Directors:</w:t>
            </w:r>
          </w:p>
          <w:p w:rsidR="00DC6814" w:rsidRPr="00A22FA3" w:rsidRDefault="006F7430" w:rsidP="00E5618C">
            <w:pPr>
              <w:tabs>
                <w:tab w:val="left" w:pos="204"/>
              </w:tabs>
              <w:spacing w:before="60"/>
              <w:jc w:val="both"/>
              <w:rPr>
                <w:rFonts w:eastAsia="Calibri"/>
                <w:lang w:val="en-US" w:eastAsia="en-US"/>
              </w:rPr>
            </w:pPr>
            <w:r>
              <w:rPr>
                <w:color w:val="000000"/>
                <w:lang w:val="en-US"/>
              </w:rPr>
              <w:t>1. To take into consideration the</w:t>
            </w:r>
            <w:r>
              <w:rPr>
                <w:color w:val="000000"/>
                <w:lang w:val="en-US"/>
              </w:rPr>
              <w:t xml:space="preserve"> report prepared by Director general on cause of degradation of </w:t>
            </w:r>
            <w:r w:rsidRPr="004D35E6">
              <w:rPr>
                <w:color w:val="000000"/>
                <w:lang w:val="en-US"/>
              </w:rPr>
              <w:t>financial and economic performance</w:t>
            </w:r>
            <w:r>
              <w:rPr>
                <w:color w:val="000000"/>
                <w:lang w:val="en-US"/>
              </w:rPr>
              <w:t xml:space="preserve"> of the Company and measures taken in the 4</w:t>
            </w:r>
            <w:r w:rsidRPr="004D35E6">
              <w:rPr>
                <w:color w:val="000000"/>
                <w:vertAlign w:val="superscript"/>
                <w:lang w:val="en-US"/>
              </w:rPr>
              <w:t>th</w:t>
            </w:r>
            <w:r>
              <w:rPr>
                <w:color w:val="000000"/>
                <w:lang w:val="en-US"/>
              </w:rPr>
              <w:t xml:space="preserve"> quarter of 2014 and in the 1</w:t>
            </w:r>
            <w:r w:rsidRPr="004D35E6">
              <w:rPr>
                <w:color w:val="000000"/>
                <w:vertAlign w:val="superscript"/>
                <w:lang w:val="en-US"/>
              </w:rPr>
              <w:t>st</w:t>
            </w:r>
            <w:r>
              <w:rPr>
                <w:color w:val="000000"/>
                <w:lang w:val="en-US"/>
              </w:rPr>
              <w:t xml:space="preserve">  quarter of 2015 to provide financial stability of the Company</w:t>
            </w:r>
            <w:r w:rsidR="00E5618C" w:rsidRPr="00A22FA3">
              <w:rPr>
                <w:color w:val="000000"/>
                <w:lang w:val="en-US"/>
              </w:rPr>
              <w:t>,</w:t>
            </w:r>
            <w:r w:rsidR="00E5618C" w:rsidRPr="00A22FA3">
              <w:rPr>
                <w:lang w:val="en-US" w:eastAsia="en-US"/>
              </w:rPr>
              <w:t xml:space="preserve"> </w:t>
            </w:r>
            <w:r w:rsidR="00EF2B25" w:rsidRPr="00A22FA3">
              <w:rPr>
                <w:lang w:val="en-US" w:eastAsia="en-US"/>
              </w:rPr>
              <w:t>in accordance with Appendix 1 to the decision of the BoD</w:t>
            </w:r>
            <w:r w:rsidR="00DC6814" w:rsidRPr="00A22FA3">
              <w:rPr>
                <w:rFonts w:eastAsia="Calibri"/>
                <w:lang w:val="en-US" w:eastAsia="en-US"/>
              </w:rPr>
              <w:t>.</w:t>
            </w:r>
          </w:p>
          <w:p w:rsidR="00E5618C" w:rsidRDefault="006F7430" w:rsidP="006F7430">
            <w:pPr>
              <w:tabs>
                <w:tab w:val="left" w:pos="204"/>
              </w:tabs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2. To instruct Director general of the Company:</w:t>
            </w:r>
          </w:p>
          <w:p w:rsidR="006F7430" w:rsidRDefault="006F7430" w:rsidP="006F7430">
            <w:pPr>
              <w:tabs>
                <w:tab w:val="left" w:pos="204"/>
              </w:tabs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2.1. </w:t>
            </w:r>
            <w:proofErr w:type="gramStart"/>
            <w:r>
              <w:rPr>
                <w:lang w:val="en-US"/>
              </w:rPr>
              <w:t>ensure</w:t>
            </w:r>
            <w:proofErr w:type="gramEnd"/>
            <w:r>
              <w:rPr>
                <w:lang w:val="en-US"/>
              </w:rPr>
              <w:t xml:space="preserve"> the approval by the BoD of plan of events aimed at increase of efficiency of company’s activity and improvement of financial and economic performance of Kubanenergo JSC.</w:t>
            </w:r>
          </w:p>
          <w:p w:rsidR="006F7430" w:rsidRDefault="006F7430" w:rsidP="006F7430">
            <w:pPr>
              <w:tabs>
                <w:tab w:val="left" w:pos="204"/>
              </w:tabs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2.2. </w:t>
            </w:r>
            <w:proofErr w:type="gramStart"/>
            <w:r>
              <w:rPr>
                <w:lang w:val="en-US"/>
              </w:rPr>
              <w:t>ensure</w:t>
            </w:r>
            <w:proofErr w:type="gramEnd"/>
            <w:r>
              <w:rPr>
                <w:lang w:val="en-US"/>
              </w:rPr>
              <w:t xml:space="preserve"> consideration by the BoD of report on implementation of </w:t>
            </w:r>
            <w:r>
              <w:rPr>
                <w:lang w:val="en-US"/>
              </w:rPr>
              <w:t>plan of events aimed at increase of efficiency of company’s activity and improvement of financial and economic performance of Kubanenergo JSC</w:t>
            </w:r>
            <w:r>
              <w:rPr>
                <w:lang w:val="en-US"/>
              </w:rPr>
              <w:t xml:space="preserve"> in accordance with paragraph 2.1.</w:t>
            </w:r>
            <w:r w:rsidR="00557347">
              <w:rPr>
                <w:lang w:val="en-US"/>
              </w:rPr>
              <w:t>, including report on implementation of activities on financial stability of the Company, as well as evaluation of management’s activity.</w:t>
            </w:r>
          </w:p>
          <w:p w:rsidR="0046627B" w:rsidRPr="00A22FA3" w:rsidRDefault="0046627B" w:rsidP="0046627B">
            <w:pPr>
              <w:tabs>
                <w:tab w:val="left" w:pos="204"/>
              </w:tabs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Term: quarterly, by 20</w:t>
            </w:r>
            <w:r w:rsidRPr="0046627B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day of the second month following the reporting quarter.</w:t>
            </w:r>
          </w:p>
        </w:tc>
      </w:tr>
      <w:tr w:rsidR="00A4189D" w:rsidRPr="006F7430" w:rsidTr="0046627B">
        <w:trPr>
          <w:trHeight w:val="778"/>
        </w:trPr>
        <w:tc>
          <w:tcPr>
            <w:tcW w:w="10349" w:type="dxa"/>
            <w:gridSpan w:val="2"/>
          </w:tcPr>
          <w:p w:rsidR="00A4189D" w:rsidRPr="00A22FA3" w:rsidRDefault="00A4189D" w:rsidP="0060069B">
            <w:pPr>
              <w:pStyle w:val="a3"/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2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2.3. Date of holding the meeting of Board of Directors: </w:t>
            </w:r>
            <w:r w:rsidR="006F7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AF179C" w:rsidRPr="00A2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April </w:t>
            </w:r>
            <w:r w:rsidRPr="00A2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="00A47CDD" w:rsidRPr="00A2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A4189D" w:rsidRPr="00A22FA3" w:rsidRDefault="00A4189D" w:rsidP="006F7430">
            <w:pPr>
              <w:pStyle w:val="a3"/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2.4. Date of making and number of minutes of meeting: </w:t>
            </w:r>
            <w:r w:rsidR="006F7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E922CD" w:rsidRPr="00A2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April 2015</w:t>
            </w:r>
            <w:r w:rsidRPr="00A2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minutes of meeting No.</w:t>
            </w:r>
            <w:r w:rsidR="00E041A9" w:rsidRPr="00A2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6F7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A2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/201</w:t>
            </w:r>
            <w:r w:rsidR="00A47CDD" w:rsidRPr="00A2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22F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A4189D" w:rsidRPr="00A22FA3" w:rsidTr="0046627B">
        <w:tc>
          <w:tcPr>
            <w:tcW w:w="10349" w:type="dxa"/>
            <w:gridSpan w:val="2"/>
          </w:tcPr>
          <w:p w:rsidR="00A4189D" w:rsidRPr="00A22FA3" w:rsidRDefault="00A4189D" w:rsidP="00E041A9">
            <w:pPr>
              <w:pStyle w:val="a3"/>
              <w:spacing w:before="6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Signature</w:t>
            </w:r>
          </w:p>
        </w:tc>
      </w:tr>
    </w:tbl>
    <w:tbl>
      <w:tblPr>
        <w:tblW w:w="10349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1700"/>
        <w:gridCol w:w="141"/>
        <w:gridCol w:w="1842"/>
        <w:gridCol w:w="287"/>
      </w:tblGrid>
      <w:tr w:rsidR="00092812" w:rsidRPr="00A22FA3" w:rsidTr="0046627B">
        <w:trPr>
          <w:cantSplit/>
        </w:trPr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92812" w:rsidRPr="00A22FA3" w:rsidRDefault="00092812" w:rsidP="0060069B">
            <w:pPr>
              <w:spacing w:before="60"/>
              <w:ind w:left="57"/>
              <w:jc w:val="both"/>
              <w:rPr>
                <w:lang w:val="en-US" w:eastAsia="en-US"/>
              </w:rPr>
            </w:pPr>
            <w:r w:rsidRPr="00A22FA3">
              <w:rPr>
                <w:lang w:val="en-US" w:eastAsia="en-US"/>
              </w:rPr>
              <w:t xml:space="preserve">3.1 </w:t>
            </w:r>
            <w:r w:rsidR="006E66DB" w:rsidRPr="00A22FA3">
              <w:rPr>
                <w:lang w:val="en-US" w:eastAsia="en-US"/>
              </w:rPr>
              <w:t>D</w:t>
            </w:r>
            <w:r w:rsidRPr="00A22FA3">
              <w:rPr>
                <w:lang w:val="en-US" w:eastAsia="en-US"/>
              </w:rPr>
              <w:t xml:space="preserve">eputy director general in charge of corporate </w:t>
            </w:r>
            <w:r w:rsidR="006F7430">
              <w:rPr>
                <w:lang w:val="en-US" w:eastAsia="en-US"/>
              </w:rPr>
              <w:t>governance</w:t>
            </w:r>
            <w:r w:rsidRPr="00A22FA3">
              <w:rPr>
                <w:lang w:val="en-US" w:eastAsia="en-US"/>
              </w:rPr>
              <w:t xml:space="preserve"> (</w:t>
            </w:r>
            <w:r w:rsidR="00E922CD" w:rsidRPr="00A22FA3">
              <w:rPr>
                <w:lang w:val="en-US" w:eastAsia="en-US"/>
              </w:rPr>
              <w:t>by proxy No.</w:t>
            </w:r>
            <w:r w:rsidR="00E922CD" w:rsidRPr="00A22FA3">
              <w:rPr>
                <w:lang w:val="en-US"/>
              </w:rPr>
              <w:t xml:space="preserve"> 8</w:t>
            </w:r>
            <w:r w:rsidR="00E922CD" w:rsidRPr="00A22FA3">
              <w:t>Д</w:t>
            </w:r>
            <w:r w:rsidR="00E922CD" w:rsidRPr="00A22FA3">
              <w:rPr>
                <w:lang w:val="en-US"/>
              </w:rPr>
              <w:t xml:space="preserve">-4113 </w:t>
            </w:r>
            <w:r w:rsidRPr="00A22FA3">
              <w:rPr>
                <w:lang w:val="en-US" w:eastAsia="en-US"/>
              </w:rPr>
              <w:t xml:space="preserve"> dated </w:t>
            </w:r>
            <w:r w:rsidR="00A47CDD" w:rsidRPr="00A22FA3">
              <w:rPr>
                <w:lang w:val="en-US" w:eastAsia="en-US"/>
              </w:rPr>
              <w:t>28.11.2014</w:t>
            </w:r>
            <w:r w:rsidRPr="00A22FA3">
              <w:rPr>
                <w:lang w:val="en-US" w:eastAsia="en-US"/>
              </w:rPr>
              <w:t>)</w:t>
            </w:r>
          </w:p>
          <w:p w:rsidR="00092812" w:rsidRPr="00A22FA3" w:rsidRDefault="00092812" w:rsidP="006B420B">
            <w:pPr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92812" w:rsidRPr="00A22FA3" w:rsidRDefault="00092812" w:rsidP="0060069B">
            <w:pPr>
              <w:spacing w:before="60"/>
              <w:jc w:val="both"/>
              <w:rPr>
                <w:lang w:val="en-US"/>
              </w:rPr>
            </w:pPr>
          </w:p>
          <w:p w:rsidR="00092812" w:rsidRPr="00A22FA3" w:rsidRDefault="00092812" w:rsidP="0060069B">
            <w:pPr>
              <w:spacing w:before="60"/>
              <w:jc w:val="both"/>
              <w:rPr>
                <w:lang w:val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92812" w:rsidRPr="00A22FA3" w:rsidRDefault="00092812" w:rsidP="0060069B">
            <w:pPr>
              <w:spacing w:before="60"/>
              <w:jc w:val="both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92812" w:rsidRPr="00A22FA3" w:rsidRDefault="00A0622C" w:rsidP="0060069B">
            <w:pPr>
              <w:spacing w:before="60"/>
              <w:ind w:right="-315"/>
              <w:jc w:val="both"/>
              <w:rPr>
                <w:lang w:val="en-US"/>
              </w:rPr>
            </w:pPr>
            <w:proofErr w:type="spellStart"/>
            <w:r w:rsidRPr="00A22FA3">
              <w:rPr>
                <w:lang w:val="en-US" w:eastAsia="en-US"/>
              </w:rPr>
              <w:t>Konevets</w:t>
            </w:r>
            <w:proofErr w:type="spellEnd"/>
            <w:r w:rsidRPr="00A22FA3">
              <w:rPr>
                <w:lang w:val="en-US" w:eastAsia="en-US"/>
              </w:rPr>
              <w:t xml:space="preserve"> K.S.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92812" w:rsidRPr="00A22FA3" w:rsidRDefault="00092812" w:rsidP="0060069B">
            <w:pPr>
              <w:spacing w:before="60"/>
              <w:jc w:val="both"/>
              <w:rPr>
                <w:lang w:val="en-US"/>
              </w:rPr>
            </w:pPr>
          </w:p>
        </w:tc>
      </w:tr>
      <w:tr w:rsidR="00092812" w:rsidRPr="00A22FA3" w:rsidTr="0046627B">
        <w:trPr>
          <w:cantSplit/>
        </w:trPr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2812" w:rsidRPr="00A22FA3" w:rsidRDefault="00092812" w:rsidP="0060069B">
            <w:pPr>
              <w:autoSpaceDE/>
              <w:autoSpaceDN/>
              <w:spacing w:before="60"/>
              <w:jc w:val="both"/>
              <w:rPr>
                <w:lang w:val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92812" w:rsidRPr="00A22FA3" w:rsidRDefault="00092812" w:rsidP="0060069B">
            <w:pPr>
              <w:spacing w:before="60"/>
              <w:jc w:val="both"/>
              <w:rPr>
                <w:lang w:val="en-US"/>
              </w:rPr>
            </w:pPr>
            <w:r w:rsidRPr="00A22FA3">
              <w:rPr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92812" w:rsidRPr="00A22FA3" w:rsidRDefault="00092812" w:rsidP="0060069B">
            <w:pPr>
              <w:spacing w:before="60"/>
              <w:jc w:val="both"/>
              <w:rPr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92812" w:rsidRPr="00A22FA3" w:rsidRDefault="00092812" w:rsidP="0060069B">
            <w:pPr>
              <w:spacing w:before="60"/>
              <w:jc w:val="both"/>
              <w:rPr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92812" w:rsidRPr="00A22FA3" w:rsidRDefault="00092812" w:rsidP="0060069B">
            <w:pPr>
              <w:spacing w:before="60"/>
              <w:jc w:val="both"/>
              <w:rPr>
                <w:lang w:val="en-US"/>
              </w:rPr>
            </w:pPr>
          </w:p>
        </w:tc>
      </w:tr>
      <w:tr w:rsidR="00092812" w:rsidRPr="00A22FA3" w:rsidTr="0046627B">
        <w:trPr>
          <w:cantSplit/>
        </w:trPr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92812" w:rsidRPr="00A22FA3" w:rsidRDefault="00092812" w:rsidP="006F7430">
            <w:pPr>
              <w:spacing w:before="60"/>
              <w:jc w:val="both"/>
              <w:rPr>
                <w:lang w:val="en-US" w:eastAsia="en-US"/>
              </w:rPr>
            </w:pPr>
            <w:r w:rsidRPr="00A22FA3">
              <w:rPr>
                <w:lang w:val="en-US" w:eastAsia="en-US"/>
              </w:rPr>
              <w:t xml:space="preserve">3.2 Date: </w:t>
            </w:r>
            <w:r w:rsidR="006F7430">
              <w:rPr>
                <w:lang w:val="en-US"/>
              </w:rPr>
              <w:t>24</w:t>
            </w:r>
            <w:r w:rsidR="00E922CD" w:rsidRPr="00A22FA3">
              <w:rPr>
                <w:lang w:val="en-US"/>
              </w:rPr>
              <w:t xml:space="preserve"> April 2</w:t>
            </w:r>
            <w:r w:rsidR="00A47CDD" w:rsidRPr="00A22FA3">
              <w:rPr>
                <w:lang w:val="en-US"/>
              </w:rPr>
              <w:t>015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92812" w:rsidRPr="00A22FA3" w:rsidRDefault="00092812" w:rsidP="0060069B">
            <w:pPr>
              <w:spacing w:before="60"/>
              <w:jc w:val="both"/>
              <w:rPr>
                <w:lang w:val="en-US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92812" w:rsidRPr="00A22FA3" w:rsidRDefault="00092812" w:rsidP="0060069B">
            <w:pPr>
              <w:spacing w:before="60"/>
              <w:jc w:val="both"/>
              <w:rPr>
                <w:lang w:val="en-US"/>
              </w:rPr>
            </w:pPr>
          </w:p>
        </w:tc>
      </w:tr>
      <w:tr w:rsidR="00092812" w:rsidRPr="00A22FA3" w:rsidTr="0046627B">
        <w:trPr>
          <w:cantSplit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92812" w:rsidRPr="00A22FA3" w:rsidRDefault="00092812" w:rsidP="0060069B">
            <w:pPr>
              <w:spacing w:before="60"/>
              <w:jc w:val="both"/>
              <w:rPr>
                <w:lang w:val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92812" w:rsidRPr="00A22FA3" w:rsidRDefault="00910E92" w:rsidP="0060069B">
            <w:pPr>
              <w:spacing w:before="60"/>
              <w:jc w:val="both"/>
              <w:rPr>
                <w:lang w:val="en-US"/>
              </w:rPr>
            </w:pPr>
            <w:r w:rsidRPr="00A22FA3">
              <w:rPr>
                <w:lang w:val="en-US"/>
              </w:rPr>
              <w:t>seal</w:t>
            </w:r>
            <w:r w:rsidR="00092812" w:rsidRPr="00A22FA3">
              <w:rPr>
                <w:lang w:val="en-US"/>
              </w:rPr>
              <w:t xml:space="preserve"> 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92812" w:rsidRPr="00A22FA3" w:rsidRDefault="00092812" w:rsidP="0060069B">
            <w:pPr>
              <w:spacing w:before="60"/>
              <w:jc w:val="both"/>
              <w:rPr>
                <w:lang w:val="en-US"/>
              </w:rPr>
            </w:pPr>
          </w:p>
        </w:tc>
      </w:tr>
    </w:tbl>
    <w:p w:rsidR="00092812" w:rsidRPr="00A22FA3" w:rsidRDefault="00092812" w:rsidP="0060069B">
      <w:pPr>
        <w:spacing w:before="60"/>
        <w:jc w:val="both"/>
        <w:rPr>
          <w:lang w:val="en-US"/>
        </w:rPr>
      </w:pPr>
    </w:p>
    <w:sectPr w:rsidR="00092812" w:rsidRPr="00A22FA3" w:rsidSect="0046627B"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74976"/>
    <w:multiLevelType w:val="hybridMultilevel"/>
    <w:tmpl w:val="C93ED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636B3"/>
    <w:multiLevelType w:val="hybridMultilevel"/>
    <w:tmpl w:val="46D61744"/>
    <w:lvl w:ilvl="0" w:tplc="0DF021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B2BD1"/>
    <w:multiLevelType w:val="hybridMultilevel"/>
    <w:tmpl w:val="671AB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156A3"/>
    <w:multiLevelType w:val="multilevel"/>
    <w:tmpl w:val="CD9677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41B07F8"/>
    <w:multiLevelType w:val="hybridMultilevel"/>
    <w:tmpl w:val="3FA62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E7EDD"/>
    <w:multiLevelType w:val="multilevel"/>
    <w:tmpl w:val="85D47D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92B3C5B"/>
    <w:multiLevelType w:val="multilevel"/>
    <w:tmpl w:val="DD3CC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D591358"/>
    <w:multiLevelType w:val="hybridMultilevel"/>
    <w:tmpl w:val="8592A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BA3D7E"/>
    <w:multiLevelType w:val="hybridMultilevel"/>
    <w:tmpl w:val="065AF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20E00"/>
    <w:multiLevelType w:val="multilevel"/>
    <w:tmpl w:val="3CE2F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23F23013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4144054"/>
    <w:multiLevelType w:val="hybridMultilevel"/>
    <w:tmpl w:val="3C68EF56"/>
    <w:lvl w:ilvl="0" w:tplc="D5187B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233362"/>
    <w:multiLevelType w:val="hybridMultilevel"/>
    <w:tmpl w:val="4EBC0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C4684"/>
    <w:multiLevelType w:val="hybridMultilevel"/>
    <w:tmpl w:val="7E70E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E17676"/>
    <w:multiLevelType w:val="multilevel"/>
    <w:tmpl w:val="3CE2F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36BE4996"/>
    <w:multiLevelType w:val="hybridMultilevel"/>
    <w:tmpl w:val="5E847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14751"/>
    <w:multiLevelType w:val="hybridMultilevel"/>
    <w:tmpl w:val="5C6E850E"/>
    <w:lvl w:ilvl="0" w:tplc="235CD4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5A0579"/>
    <w:multiLevelType w:val="hybridMultilevel"/>
    <w:tmpl w:val="5C7C69E2"/>
    <w:lvl w:ilvl="0" w:tplc="9E7A3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702D1D"/>
    <w:multiLevelType w:val="hybridMultilevel"/>
    <w:tmpl w:val="D2C2F348"/>
    <w:lvl w:ilvl="0" w:tplc="89D2C9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5004D1C"/>
    <w:multiLevelType w:val="hybridMultilevel"/>
    <w:tmpl w:val="F4621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39585F"/>
    <w:multiLevelType w:val="hybridMultilevel"/>
    <w:tmpl w:val="075CA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7515DC"/>
    <w:multiLevelType w:val="hybridMultilevel"/>
    <w:tmpl w:val="71207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9F2AA8"/>
    <w:multiLevelType w:val="hybridMultilevel"/>
    <w:tmpl w:val="39E47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E200CE"/>
    <w:multiLevelType w:val="multilevel"/>
    <w:tmpl w:val="3CE2F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562B712E"/>
    <w:multiLevelType w:val="hybridMultilevel"/>
    <w:tmpl w:val="5C662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07070B"/>
    <w:multiLevelType w:val="hybridMultilevel"/>
    <w:tmpl w:val="C4800A5E"/>
    <w:lvl w:ilvl="0" w:tplc="1880527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6202ED"/>
    <w:multiLevelType w:val="hybridMultilevel"/>
    <w:tmpl w:val="D4624974"/>
    <w:lvl w:ilvl="0" w:tplc="6582B4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C25962"/>
    <w:multiLevelType w:val="hybridMultilevel"/>
    <w:tmpl w:val="7EEA6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404DCB"/>
    <w:multiLevelType w:val="multilevel"/>
    <w:tmpl w:val="377AA5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5D775701"/>
    <w:multiLevelType w:val="hybridMultilevel"/>
    <w:tmpl w:val="39C45F56"/>
    <w:lvl w:ilvl="0" w:tplc="1B3409A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15A722D"/>
    <w:multiLevelType w:val="multilevel"/>
    <w:tmpl w:val="49188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64AC6B6D"/>
    <w:multiLevelType w:val="hybridMultilevel"/>
    <w:tmpl w:val="72BCFB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C32292"/>
    <w:multiLevelType w:val="multilevel"/>
    <w:tmpl w:val="3CE2F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68263A20"/>
    <w:multiLevelType w:val="hybridMultilevel"/>
    <w:tmpl w:val="69929028"/>
    <w:lvl w:ilvl="0" w:tplc="D428A96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564418"/>
    <w:multiLevelType w:val="hybridMultilevel"/>
    <w:tmpl w:val="4544BAA0"/>
    <w:lvl w:ilvl="0" w:tplc="200CBA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1F71C1"/>
    <w:multiLevelType w:val="multilevel"/>
    <w:tmpl w:val="9DD0D4D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7">
    <w:nsid w:val="6CF37435"/>
    <w:multiLevelType w:val="hybridMultilevel"/>
    <w:tmpl w:val="A9AA6104"/>
    <w:lvl w:ilvl="0" w:tplc="0E4E0CD6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04F5F24"/>
    <w:multiLevelType w:val="hybridMultilevel"/>
    <w:tmpl w:val="FDE4C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8B61C8"/>
    <w:multiLevelType w:val="hybridMultilevel"/>
    <w:tmpl w:val="3EFE152E"/>
    <w:lvl w:ilvl="0" w:tplc="CF9415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EC4B5F"/>
    <w:multiLevelType w:val="hybridMultilevel"/>
    <w:tmpl w:val="7BD06ECA"/>
    <w:lvl w:ilvl="0" w:tplc="7BE0A9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FC1837"/>
    <w:multiLevelType w:val="hybridMultilevel"/>
    <w:tmpl w:val="B34263A0"/>
    <w:lvl w:ilvl="0" w:tplc="1A3267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1"/>
  </w:num>
  <w:num w:numId="6">
    <w:abstractNumId w:val="24"/>
  </w:num>
  <w:num w:numId="7">
    <w:abstractNumId w:val="6"/>
  </w:num>
  <w:num w:numId="8">
    <w:abstractNumId w:val="36"/>
  </w:num>
  <w:num w:numId="9">
    <w:abstractNumId w:val="3"/>
  </w:num>
  <w:num w:numId="10">
    <w:abstractNumId w:val="7"/>
  </w:num>
  <w:num w:numId="11">
    <w:abstractNumId w:val="8"/>
  </w:num>
  <w:num w:numId="12">
    <w:abstractNumId w:val="0"/>
  </w:num>
  <w:num w:numId="13">
    <w:abstractNumId w:val="12"/>
  </w:num>
  <w:num w:numId="14">
    <w:abstractNumId w:val="40"/>
  </w:num>
  <w:num w:numId="15">
    <w:abstractNumId w:val="22"/>
  </w:num>
  <w:num w:numId="16">
    <w:abstractNumId w:val="38"/>
  </w:num>
  <w:num w:numId="17">
    <w:abstractNumId w:val="16"/>
  </w:num>
  <w:num w:numId="18">
    <w:abstractNumId w:val="13"/>
  </w:num>
  <w:num w:numId="19">
    <w:abstractNumId w:val="31"/>
  </w:num>
  <w:num w:numId="20">
    <w:abstractNumId w:val="25"/>
  </w:num>
  <w:num w:numId="21">
    <w:abstractNumId w:val="5"/>
  </w:num>
  <w:num w:numId="22">
    <w:abstractNumId w:val="32"/>
  </w:num>
  <w:num w:numId="23">
    <w:abstractNumId w:val="26"/>
  </w:num>
  <w:num w:numId="24">
    <w:abstractNumId w:val="35"/>
  </w:num>
  <w:num w:numId="25">
    <w:abstractNumId w:val="41"/>
  </w:num>
  <w:num w:numId="26">
    <w:abstractNumId w:val="27"/>
  </w:num>
  <w:num w:numId="27">
    <w:abstractNumId w:val="19"/>
  </w:num>
  <w:num w:numId="28">
    <w:abstractNumId w:val="29"/>
  </w:num>
  <w:num w:numId="29">
    <w:abstractNumId w:val="4"/>
  </w:num>
  <w:num w:numId="30">
    <w:abstractNumId w:val="34"/>
  </w:num>
  <w:num w:numId="31">
    <w:abstractNumId w:val="15"/>
  </w:num>
  <w:num w:numId="32">
    <w:abstractNumId w:val="23"/>
  </w:num>
  <w:num w:numId="33">
    <w:abstractNumId w:val="10"/>
  </w:num>
  <w:num w:numId="34">
    <w:abstractNumId w:val="9"/>
  </w:num>
  <w:num w:numId="35">
    <w:abstractNumId w:val="14"/>
  </w:num>
  <w:num w:numId="36">
    <w:abstractNumId w:val="33"/>
  </w:num>
  <w:num w:numId="37">
    <w:abstractNumId w:val="28"/>
  </w:num>
  <w:num w:numId="38">
    <w:abstractNumId w:val="18"/>
  </w:num>
  <w:num w:numId="39">
    <w:abstractNumId w:val="2"/>
  </w:num>
  <w:num w:numId="40">
    <w:abstractNumId w:val="17"/>
  </w:num>
  <w:num w:numId="41">
    <w:abstractNumId w:val="1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12"/>
    <w:rsid w:val="000035E0"/>
    <w:rsid w:val="00005054"/>
    <w:rsid w:val="00005411"/>
    <w:rsid w:val="00007346"/>
    <w:rsid w:val="000123DC"/>
    <w:rsid w:val="000128A3"/>
    <w:rsid w:val="000149E8"/>
    <w:rsid w:val="00015EC8"/>
    <w:rsid w:val="000164A5"/>
    <w:rsid w:val="000218F6"/>
    <w:rsid w:val="0002272A"/>
    <w:rsid w:val="00032D68"/>
    <w:rsid w:val="00034B68"/>
    <w:rsid w:val="00035B31"/>
    <w:rsid w:val="00043C5F"/>
    <w:rsid w:val="000472B1"/>
    <w:rsid w:val="000501B4"/>
    <w:rsid w:val="000602C7"/>
    <w:rsid w:val="00061B14"/>
    <w:rsid w:val="000638A5"/>
    <w:rsid w:val="00063CEA"/>
    <w:rsid w:val="00065AB4"/>
    <w:rsid w:val="0007139F"/>
    <w:rsid w:val="00072E77"/>
    <w:rsid w:val="00074DC5"/>
    <w:rsid w:val="00075975"/>
    <w:rsid w:val="00085D68"/>
    <w:rsid w:val="00086EB4"/>
    <w:rsid w:val="000874AF"/>
    <w:rsid w:val="0009038C"/>
    <w:rsid w:val="000912AE"/>
    <w:rsid w:val="00092812"/>
    <w:rsid w:val="00094A8E"/>
    <w:rsid w:val="000A7FCD"/>
    <w:rsid w:val="000B287C"/>
    <w:rsid w:val="000C15EC"/>
    <w:rsid w:val="000C4DB2"/>
    <w:rsid w:val="000C608D"/>
    <w:rsid w:val="000D057D"/>
    <w:rsid w:val="000D34C3"/>
    <w:rsid w:val="000D5750"/>
    <w:rsid w:val="000D730D"/>
    <w:rsid w:val="000D78C5"/>
    <w:rsid w:val="000D7B87"/>
    <w:rsid w:val="000D7E85"/>
    <w:rsid w:val="000E2511"/>
    <w:rsid w:val="000E2B5B"/>
    <w:rsid w:val="000E30EB"/>
    <w:rsid w:val="000E3262"/>
    <w:rsid w:val="000E3367"/>
    <w:rsid w:val="000E6995"/>
    <w:rsid w:val="000E7330"/>
    <w:rsid w:val="000E74CC"/>
    <w:rsid w:val="000F46F4"/>
    <w:rsid w:val="0010170D"/>
    <w:rsid w:val="00107E93"/>
    <w:rsid w:val="001127A6"/>
    <w:rsid w:val="00112BA1"/>
    <w:rsid w:val="00113C41"/>
    <w:rsid w:val="001266CA"/>
    <w:rsid w:val="00127108"/>
    <w:rsid w:val="00130631"/>
    <w:rsid w:val="00130F87"/>
    <w:rsid w:val="00131F9E"/>
    <w:rsid w:val="0013293F"/>
    <w:rsid w:val="00132B88"/>
    <w:rsid w:val="0014043E"/>
    <w:rsid w:val="00151189"/>
    <w:rsid w:val="001516F9"/>
    <w:rsid w:val="00153B5E"/>
    <w:rsid w:val="001566BF"/>
    <w:rsid w:val="00161CC9"/>
    <w:rsid w:val="001670A9"/>
    <w:rsid w:val="001738D1"/>
    <w:rsid w:val="00174F89"/>
    <w:rsid w:val="00184297"/>
    <w:rsid w:val="00184C6E"/>
    <w:rsid w:val="00185303"/>
    <w:rsid w:val="00192C80"/>
    <w:rsid w:val="00197772"/>
    <w:rsid w:val="001A1579"/>
    <w:rsid w:val="001A1B8B"/>
    <w:rsid w:val="001A2D03"/>
    <w:rsid w:val="001A2EA8"/>
    <w:rsid w:val="001B0007"/>
    <w:rsid w:val="001B08F6"/>
    <w:rsid w:val="001B15B5"/>
    <w:rsid w:val="001B1B8E"/>
    <w:rsid w:val="001B2F55"/>
    <w:rsid w:val="001B325F"/>
    <w:rsid w:val="001C2E14"/>
    <w:rsid w:val="001D69E0"/>
    <w:rsid w:val="001E11FB"/>
    <w:rsid w:val="001E231D"/>
    <w:rsid w:val="001E7930"/>
    <w:rsid w:val="001F0742"/>
    <w:rsid w:val="001F20A3"/>
    <w:rsid w:val="001F2453"/>
    <w:rsid w:val="001F3CF9"/>
    <w:rsid w:val="001F41EE"/>
    <w:rsid w:val="001F7BC3"/>
    <w:rsid w:val="00204951"/>
    <w:rsid w:val="00204C91"/>
    <w:rsid w:val="00214D90"/>
    <w:rsid w:val="00217C76"/>
    <w:rsid w:val="00220CEA"/>
    <w:rsid w:val="00223DFB"/>
    <w:rsid w:val="00224519"/>
    <w:rsid w:val="00231836"/>
    <w:rsid w:val="00244BB8"/>
    <w:rsid w:val="002464CD"/>
    <w:rsid w:val="00251944"/>
    <w:rsid w:val="00253F18"/>
    <w:rsid w:val="00256B92"/>
    <w:rsid w:val="002570B7"/>
    <w:rsid w:val="002570FB"/>
    <w:rsid w:val="00261551"/>
    <w:rsid w:val="002654D7"/>
    <w:rsid w:val="0026651C"/>
    <w:rsid w:val="002667DA"/>
    <w:rsid w:val="00271843"/>
    <w:rsid w:val="00272A27"/>
    <w:rsid w:val="00274D41"/>
    <w:rsid w:val="00274D9E"/>
    <w:rsid w:val="00280A69"/>
    <w:rsid w:val="002863A9"/>
    <w:rsid w:val="0029136E"/>
    <w:rsid w:val="00291FAD"/>
    <w:rsid w:val="00292C8F"/>
    <w:rsid w:val="0029317B"/>
    <w:rsid w:val="00297D14"/>
    <w:rsid w:val="002A0F59"/>
    <w:rsid w:val="002A3105"/>
    <w:rsid w:val="002A3600"/>
    <w:rsid w:val="002A36E4"/>
    <w:rsid w:val="002B11A6"/>
    <w:rsid w:val="002B224D"/>
    <w:rsid w:val="002B7458"/>
    <w:rsid w:val="002C2AC0"/>
    <w:rsid w:val="002C2E36"/>
    <w:rsid w:val="002C4EB8"/>
    <w:rsid w:val="002D03A4"/>
    <w:rsid w:val="002D5EB8"/>
    <w:rsid w:val="002E03AC"/>
    <w:rsid w:val="002E2795"/>
    <w:rsid w:val="002E2D86"/>
    <w:rsid w:val="002E4F45"/>
    <w:rsid w:val="002E7E10"/>
    <w:rsid w:val="002F4055"/>
    <w:rsid w:val="002F466F"/>
    <w:rsid w:val="00300DAA"/>
    <w:rsid w:val="00304C16"/>
    <w:rsid w:val="0031377E"/>
    <w:rsid w:val="00314249"/>
    <w:rsid w:val="003245CC"/>
    <w:rsid w:val="003278E4"/>
    <w:rsid w:val="00330122"/>
    <w:rsid w:val="00335D7A"/>
    <w:rsid w:val="00335DA3"/>
    <w:rsid w:val="00335DFA"/>
    <w:rsid w:val="003404D8"/>
    <w:rsid w:val="00344937"/>
    <w:rsid w:val="003637F2"/>
    <w:rsid w:val="003668E4"/>
    <w:rsid w:val="00381593"/>
    <w:rsid w:val="00386117"/>
    <w:rsid w:val="00390B53"/>
    <w:rsid w:val="0039230A"/>
    <w:rsid w:val="00394737"/>
    <w:rsid w:val="003A5DD2"/>
    <w:rsid w:val="003A71B0"/>
    <w:rsid w:val="003A78C3"/>
    <w:rsid w:val="003B3ED0"/>
    <w:rsid w:val="003B40F3"/>
    <w:rsid w:val="003C2B55"/>
    <w:rsid w:val="003D24FB"/>
    <w:rsid w:val="003D3406"/>
    <w:rsid w:val="003D546F"/>
    <w:rsid w:val="003D55BE"/>
    <w:rsid w:val="003E1AA8"/>
    <w:rsid w:val="003E297D"/>
    <w:rsid w:val="003E3C47"/>
    <w:rsid w:val="003E4D42"/>
    <w:rsid w:val="003F07F1"/>
    <w:rsid w:val="003F0E75"/>
    <w:rsid w:val="00400719"/>
    <w:rsid w:val="0040623F"/>
    <w:rsid w:val="00406B52"/>
    <w:rsid w:val="004134ED"/>
    <w:rsid w:val="00414D37"/>
    <w:rsid w:val="004152AA"/>
    <w:rsid w:val="004162C7"/>
    <w:rsid w:val="0041723A"/>
    <w:rsid w:val="00421D89"/>
    <w:rsid w:val="00424460"/>
    <w:rsid w:val="00425A82"/>
    <w:rsid w:val="0043344F"/>
    <w:rsid w:val="00434BF5"/>
    <w:rsid w:val="004368F5"/>
    <w:rsid w:val="00437460"/>
    <w:rsid w:val="00450BF0"/>
    <w:rsid w:val="00462A5B"/>
    <w:rsid w:val="0046627B"/>
    <w:rsid w:val="004720E3"/>
    <w:rsid w:val="00474066"/>
    <w:rsid w:val="004748A6"/>
    <w:rsid w:val="00476FAD"/>
    <w:rsid w:val="00480DF2"/>
    <w:rsid w:val="00483D59"/>
    <w:rsid w:val="0049256A"/>
    <w:rsid w:val="00492CAD"/>
    <w:rsid w:val="00493900"/>
    <w:rsid w:val="00496066"/>
    <w:rsid w:val="004A0570"/>
    <w:rsid w:val="004A690C"/>
    <w:rsid w:val="004A792D"/>
    <w:rsid w:val="004B2EBB"/>
    <w:rsid w:val="004B6A15"/>
    <w:rsid w:val="004C2FD5"/>
    <w:rsid w:val="004E2032"/>
    <w:rsid w:val="004E2324"/>
    <w:rsid w:val="004E2980"/>
    <w:rsid w:val="005010CA"/>
    <w:rsid w:val="00502B2F"/>
    <w:rsid w:val="00504339"/>
    <w:rsid w:val="005065EE"/>
    <w:rsid w:val="00512201"/>
    <w:rsid w:val="005152F8"/>
    <w:rsid w:val="00516D94"/>
    <w:rsid w:val="00527D4F"/>
    <w:rsid w:val="005305ED"/>
    <w:rsid w:val="00533892"/>
    <w:rsid w:val="00537A3E"/>
    <w:rsid w:val="00541DE5"/>
    <w:rsid w:val="00542FCA"/>
    <w:rsid w:val="005479D4"/>
    <w:rsid w:val="00547CB2"/>
    <w:rsid w:val="005508C6"/>
    <w:rsid w:val="00554F3E"/>
    <w:rsid w:val="00557347"/>
    <w:rsid w:val="00560DB7"/>
    <w:rsid w:val="00561D4C"/>
    <w:rsid w:val="005673D4"/>
    <w:rsid w:val="00571024"/>
    <w:rsid w:val="00576485"/>
    <w:rsid w:val="005854EB"/>
    <w:rsid w:val="005859CE"/>
    <w:rsid w:val="005908CB"/>
    <w:rsid w:val="00592012"/>
    <w:rsid w:val="005A50F0"/>
    <w:rsid w:val="005A58DB"/>
    <w:rsid w:val="005B5D03"/>
    <w:rsid w:val="005B6212"/>
    <w:rsid w:val="005B6E0F"/>
    <w:rsid w:val="005C4E67"/>
    <w:rsid w:val="005D1CC0"/>
    <w:rsid w:val="005D1D5D"/>
    <w:rsid w:val="005D3EFE"/>
    <w:rsid w:val="005D6325"/>
    <w:rsid w:val="005D6B46"/>
    <w:rsid w:val="005E4634"/>
    <w:rsid w:val="005F1DD2"/>
    <w:rsid w:val="005F250C"/>
    <w:rsid w:val="005F7513"/>
    <w:rsid w:val="0060069B"/>
    <w:rsid w:val="00611374"/>
    <w:rsid w:val="00613CA0"/>
    <w:rsid w:val="00631705"/>
    <w:rsid w:val="006318F2"/>
    <w:rsid w:val="006403F4"/>
    <w:rsid w:val="006418FB"/>
    <w:rsid w:val="0064252D"/>
    <w:rsid w:val="00644198"/>
    <w:rsid w:val="00644E31"/>
    <w:rsid w:val="00646882"/>
    <w:rsid w:val="00646A81"/>
    <w:rsid w:val="006470B5"/>
    <w:rsid w:val="00654777"/>
    <w:rsid w:val="00670239"/>
    <w:rsid w:val="00672161"/>
    <w:rsid w:val="0068002E"/>
    <w:rsid w:val="00690F9B"/>
    <w:rsid w:val="006A6473"/>
    <w:rsid w:val="006A67C0"/>
    <w:rsid w:val="006B1E4A"/>
    <w:rsid w:val="006B3A0F"/>
    <w:rsid w:val="006B420B"/>
    <w:rsid w:val="006B4D8B"/>
    <w:rsid w:val="006C2A45"/>
    <w:rsid w:val="006D73CF"/>
    <w:rsid w:val="006E66DB"/>
    <w:rsid w:val="006F68B6"/>
    <w:rsid w:val="006F7430"/>
    <w:rsid w:val="006F7907"/>
    <w:rsid w:val="00701F02"/>
    <w:rsid w:val="00705271"/>
    <w:rsid w:val="0070704C"/>
    <w:rsid w:val="0071069D"/>
    <w:rsid w:val="00710AF9"/>
    <w:rsid w:val="00710CFB"/>
    <w:rsid w:val="00712EC7"/>
    <w:rsid w:val="00713D2C"/>
    <w:rsid w:val="00714CD1"/>
    <w:rsid w:val="00722F8C"/>
    <w:rsid w:val="007260A8"/>
    <w:rsid w:val="007336FF"/>
    <w:rsid w:val="0073471B"/>
    <w:rsid w:val="00735E5E"/>
    <w:rsid w:val="00736982"/>
    <w:rsid w:val="00736C45"/>
    <w:rsid w:val="00753FA4"/>
    <w:rsid w:val="007567E3"/>
    <w:rsid w:val="00764289"/>
    <w:rsid w:val="007657AA"/>
    <w:rsid w:val="00766F7B"/>
    <w:rsid w:val="00781058"/>
    <w:rsid w:val="00783EC6"/>
    <w:rsid w:val="00784615"/>
    <w:rsid w:val="00785F9D"/>
    <w:rsid w:val="00787262"/>
    <w:rsid w:val="007A125D"/>
    <w:rsid w:val="007B2C7C"/>
    <w:rsid w:val="007B455D"/>
    <w:rsid w:val="007B4EB5"/>
    <w:rsid w:val="007B5326"/>
    <w:rsid w:val="007B612B"/>
    <w:rsid w:val="007B6E46"/>
    <w:rsid w:val="007C0239"/>
    <w:rsid w:val="007C43B6"/>
    <w:rsid w:val="007C4577"/>
    <w:rsid w:val="007C7D94"/>
    <w:rsid w:val="007D0544"/>
    <w:rsid w:val="007D05D0"/>
    <w:rsid w:val="007D12B7"/>
    <w:rsid w:val="007D3C6E"/>
    <w:rsid w:val="007D3EA1"/>
    <w:rsid w:val="007D509D"/>
    <w:rsid w:val="007E1625"/>
    <w:rsid w:val="007E371B"/>
    <w:rsid w:val="007E4562"/>
    <w:rsid w:val="007E4BA4"/>
    <w:rsid w:val="007E66B3"/>
    <w:rsid w:val="007F5EDE"/>
    <w:rsid w:val="007F723F"/>
    <w:rsid w:val="00800435"/>
    <w:rsid w:val="008035BE"/>
    <w:rsid w:val="0080510F"/>
    <w:rsid w:val="00805515"/>
    <w:rsid w:val="00807159"/>
    <w:rsid w:val="00810A97"/>
    <w:rsid w:val="008128B9"/>
    <w:rsid w:val="0082219C"/>
    <w:rsid w:val="00824801"/>
    <w:rsid w:val="008249C9"/>
    <w:rsid w:val="00826D04"/>
    <w:rsid w:val="00826D4A"/>
    <w:rsid w:val="00827600"/>
    <w:rsid w:val="00832E1C"/>
    <w:rsid w:val="00832EA1"/>
    <w:rsid w:val="00837906"/>
    <w:rsid w:val="00850252"/>
    <w:rsid w:val="00856C65"/>
    <w:rsid w:val="008617A2"/>
    <w:rsid w:val="00863C19"/>
    <w:rsid w:val="00866BBC"/>
    <w:rsid w:val="00873943"/>
    <w:rsid w:val="008770E5"/>
    <w:rsid w:val="00877A8B"/>
    <w:rsid w:val="00885D73"/>
    <w:rsid w:val="008860E4"/>
    <w:rsid w:val="00886FCC"/>
    <w:rsid w:val="008909D6"/>
    <w:rsid w:val="00891E4F"/>
    <w:rsid w:val="0089584F"/>
    <w:rsid w:val="008B0470"/>
    <w:rsid w:val="008B313B"/>
    <w:rsid w:val="008B33FE"/>
    <w:rsid w:val="008B422B"/>
    <w:rsid w:val="008C2830"/>
    <w:rsid w:val="008C2B4B"/>
    <w:rsid w:val="008C57F9"/>
    <w:rsid w:val="008C6D75"/>
    <w:rsid w:val="008C760A"/>
    <w:rsid w:val="008C7CEA"/>
    <w:rsid w:val="008D08D4"/>
    <w:rsid w:val="008D0E24"/>
    <w:rsid w:val="008D0ED3"/>
    <w:rsid w:val="008D5552"/>
    <w:rsid w:val="008D5F4D"/>
    <w:rsid w:val="008E570D"/>
    <w:rsid w:val="008E6AE0"/>
    <w:rsid w:val="008F4A66"/>
    <w:rsid w:val="008F779D"/>
    <w:rsid w:val="0090260E"/>
    <w:rsid w:val="00906D31"/>
    <w:rsid w:val="0090764B"/>
    <w:rsid w:val="00910E92"/>
    <w:rsid w:val="009178B5"/>
    <w:rsid w:val="00922F11"/>
    <w:rsid w:val="009236C1"/>
    <w:rsid w:val="00926BA4"/>
    <w:rsid w:val="009311D4"/>
    <w:rsid w:val="0093137C"/>
    <w:rsid w:val="00934DA8"/>
    <w:rsid w:val="00936C5C"/>
    <w:rsid w:val="009508B4"/>
    <w:rsid w:val="00950D2B"/>
    <w:rsid w:val="00950FD9"/>
    <w:rsid w:val="00952E8A"/>
    <w:rsid w:val="0095393F"/>
    <w:rsid w:val="00953AB4"/>
    <w:rsid w:val="00956335"/>
    <w:rsid w:val="0097151C"/>
    <w:rsid w:val="00975176"/>
    <w:rsid w:val="00980B89"/>
    <w:rsid w:val="00981EC3"/>
    <w:rsid w:val="00982C1A"/>
    <w:rsid w:val="00985FD6"/>
    <w:rsid w:val="0099052A"/>
    <w:rsid w:val="009933D3"/>
    <w:rsid w:val="00993BD4"/>
    <w:rsid w:val="0099612B"/>
    <w:rsid w:val="009A244D"/>
    <w:rsid w:val="009B07E5"/>
    <w:rsid w:val="009B6373"/>
    <w:rsid w:val="009B6402"/>
    <w:rsid w:val="009B6697"/>
    <w:rsid w:val="009B6AD1"/>
    <w:rsid w:val="009C021A"/>
    <w:rsid w:val="009C216D"/>
    <w:rsid w:val="009C2C03"/>
    <w:rsid w:val="009C3A44"/>
    <w:rsid w:val="009C4E99"/>
    <w:rsid w:val="009C56C6"/>
    <w:rsid w:val="009C65B5"/>
    <w:rsid w:val="009D00DF"/>
    <w:rsid w:val="009D01E5"/>
    <w:rsid w:val="009D0E21"/>
    <w:rsid w:val="009E4BC7"/>
    <w:rsid w:val="009E627A"/>
    <w:rsid w:val="009E6828"/>
    <w:rsid w:val="009F26ED"/>
    <w:rsid w:val="009F5BDC"/>
    <w:rsid w:val="00A00211"/>
    <w:rsid w:val="00A0622C"/>
    <w:rsid w:val="00A1227D"/>
    <w:rsid w:val="00A1439F"/>
    <w:rsid w:val="00A17A22"/>
    <w:rsid w:val="00A17D2C"/>
    <w:rsid w:val="00A21965"/>
    <w:rsid w:val="00A22FA3"/>
    <w:rsid w:val="00A23159"/>
    <w:rsid w:val="00A2358F"/>
    <w:rsid w:val="00A24D11"/>
    <w:rsid w:val="00A256A1"/>
    <w:rsid w:val="00A27B9A"/>
    <w:rsid w:val="00A3019D"/>
    <w:rsid w:val="00A317FF"/>
    <w:rsid w:val="00A32B89"/>
    <w:rsid w:val="00A33ACB"/>
    <w:rsid w:val="00A35435"/>
    <w:rsid w:val="00A4189D"/>
    <w:rsid w:val="00A45D1F"/>
    <w:rsid w:val="00A47CDD"/>
    <w:rsid w:val="00A508E7"/>
    <w:rsid w:val="00A5108C"/>
    <w:rsid w:val="00A5174D"/>
    <w:rsid w:val="00A54452"/>
    <w:rsid w:val="00A56F82"/>
    <w:rsid w:val="00A60096"/>
    <w:rsid w:val="00A607B8"/>
    <w:rsid w:val="00A60A80"/>
    <w:rsid w:val="00A632F2"/>
    <w:rsid w:val="00A6708A"/>
    <w:rsid w:val="00A73BDB"/>
    <w:rsid w:val="00A80444"/>
    <w:rsid w:val="00A80737"/>
    <w:rsid w:val="00A82B01"/>
    <w:rsid w:val="00A84A7D"/>
    <w:rsid w:val="00A86E18"/>
    <w:rsid w:val="00A91E8D"/>
    <w:rsid w:val="00A9594F"/>
    <w:rsid w:val="00AA04F9"/>
    <w:rsid w:val="00AA20AE"/>
    <w:rsid w:val="00AA2211"/>
    <w:rsid w:val="00AA2F46"/>
    <w:rsid w:val="00AA453C"/>
    <w:rsid w:val="00AB3DD7"/>
    <w:rsid w:val="00AB7C6E"/>
    <w:rsid w:val="00AE042A"/>
    <w:rsid w:val="00AF179C"/>
    <w:rsid w:val="00AF51B0"/>
    <w:rsid w:val="00AF66C6"/>
    <w:rsid w:val="00B01E89"/>
    <w:rsid w:val="00B035C7"/>
    <w:rsid w:val="00B14632"/>
    <w:rsid w:val="00B171E4"/>
    <w:rsid w:val="00B2583B"/>
    <w:rsid w:val="00B27046"/>
    <w:rsid w:val="00B31BB0"/>
    <w:rsid w:val="00B356D4"/>
    <w:rsid w:val="00B44C52"/>
    <w:rsid w:val="00B47117"/>
    <w:rsid w:val="00B5525C"/>
    <w:rsid w:val="00B60D48"/>
    <w:rsid w:val="00B61E73"/>
    <w:rsid w:val="00B70BA7"/>
    <w:rsid w:val="00B74B00"/>
    <w:rsid w:val="00B75764"/>
    <w:rsid w:val="00B7590A"/>
    <w:rsid w:val="00B80F6F"/>
    <w:rsid w:val="00B85D5B"/>
    <w:rsid w:val="00B9493B"/>
    <w:rsid w:val="00BA62EF"/>
    <w:rsid w:val="00BA7DAF"/>
    <w:rsid w:val="00BB0633"/>
    <w:rsid w:val="00BB07E3"/>
    <w:rsid w:val="00BB3FFE"/>
    <w:rsid w:val="00BB5572"/>
    <w:rsid w:val="00BC4A33"/>
    <w:rsid w:val="00BC64A0"/>
    <w:rsid w:val="00BD2124"/>
    <w:rsid w:val="00BD2DCD"/>
    <w:rsid w:val="00BD678C"/>
    <w:rsid w:val="00BE56CC"/>
    <w:rsid w:val="00BE58AA"/>
    <w:rsid w:val="00BE7A16"/>
    <w:rsid w:val="00BE7BE8"/>
    <w:rsid w:val="00BF0920"/>
    <w:rsid w:val="00BF5909"/>
    <w:rsid w:val="00BF7217"/>
    <w:rsid w:val="00C04918"/>
    <w:rsid w:val="00C117C6"/>
    <w:rsid w:val="00C12E42"/>
    <w:rsid w:val="00C1436D"/>
    <w:rsid w:val="00C23519"/>
    <w:rsid w:val="00C24D89"/>
    <w:rsid w:val="00C31A59"/>
    <w:rsid w:val="00C32326"/>
    <w:rsid w:val="00C4049A"/>
    <w:rsid w:val="00C42EEF"/>
    <w:rsid w:val="00C47BC4"/>
    <w:rsid w:val="00C504CA"/>
    <w:rsid w:val="00C546ED"/>
    <w:rsid w:val="00C63FE4"/>
    <w:rsid w:val="00C7255C"/>
    <w:rsid w:val="00C75042"/>
    <w:rsid w:val="00C812BD"/>
    <w:rsid w:val="00C82691"/>
    <w:rsid w:val="00C82879"/>
    <w:rsid w:val="00C850E5"/>
    <w:rsid w:val="00C92355"/>
    <w:rsid w:val="00C9279E"/>
    <w:rsid w:val="00C94481"/>
    <w:rsid w:val="00C950F6"/>
    <w:rsid w:val="00CA2763"/>
    <w:rsid w:val="00CB1093"/>
    <w:rsid w:val="00CB1BEB"/>
    <w:rsid w:val="00CB2153"/>
    <w:rsid w:val="00CB4D34"/>
    <w:rsid w:val="00CC04F8"/>
    <w:rsid w:val="00CC244B"/>
    <w:rsid w:val="00CD7BA5"/>
    <w:rsid w:val="00CE0DEE"/>
    <w:rsid w:val="00CE5FD6"/>
    <w:rsid w:val="00CF022B"/>
    <w:rsid w:val="00CF514B"/>
    <w:rsid w:val="00D0175E"/>
    <w:rsid w:val="00D01A72"/>
    <w:rsid w:val="00D02854"/>
    <w:rsid w:val="00D109B2"/>
    <w:rsid w:val="00D12163"/>
    <w:rsid w:val="00D140A0"/>
    <w:rsid w:val="00D15952"/>
    <w:rsid w:val="00D17963"/>
    <w:rsid w:val="00D21878"/>
    <w:rsid w:val="00D22B53"/>
    <w:rsid w:val="00D273FB"/>
    <w:rsid w:val="00D27FE9"/>
    <w:rsid w:val="00D3014D"/>
    <w:rsid w:val="00D307EA"/>
    <w:rsid w:val="00D32DA1"/>
    <w:rsid w:val="00D404ED"/>
    <w:rsid w:val="00D41ADA"/>
    <w:rsid w:val="00D47FC8"/>
    <w:rsid w:val="00D52E3D"/>
    <w:rsid w:val="00D542E8"/>
    <w:rsid w:val="00D6362C"/>
    <w:rsid w:val="00D64912"/>
    <w:rsid w:val="00D64C57"/>
    <w:rsid w:val="00D75F9D"/>
    <w:rsid w:val="00D82288"/>
    <w:rsid w:val="00D83B46"/>
    <w:rsid w:val="00D92A22"/>
    <w:rsid w:val="00D95201"/>
    <w:rsid w:val="00D97217"/>
    <w:rsid w:val="00DA061E"/>
    <w:rsid w:val="00DA635D"/>
    <w:rsid w:val="00DA63A2"/>
    <w:rsid w:val="00DB08EB"/>
    <w:rsid w:val="00DB0EEA"/>
    <w:rsid w:val="00DB12D9"/>
    <w:rsid w:val="00DB7D87"/>
    <w:rsid w:val="00DC0ECC"/>
    <w:rsid w:val="00DC4696"/>
    <w:rsid w:val="00DC4A2B"/>
    <w:rsid w:val="00DC6814"/>
    <w:rsid w:val="00DC771A"/>
    <w:rsid w:val="00DD04FE"/>
    <w:rsid w:val="00DD5269"/>
    <w:rsid w:val="00DE5A3D"/>
    <w:rsid w:val="00DF11B2"/>
    <w:rsid w:val="00DF7F75"/>
    <w:rsid w:val="00E0327D"/>
    <w:rsid w:val="00E041A9"/>
    <w:rsid w:val="00E07A50"/>
    <w:rsid w:val="00E11F9B"/>
    <w:rsid w:val="00E14463"/>
    <w:rsid w:val="00E21177"/>
    <w:rsid w:val="00E2188C"/>
    <w:rsid w:val="00E225A2"/>
    <w:rsid w:val="00E263DF"/>
    <w:rsid w:val="00E26B7C"/>
    <w:rsid w:val="00E27031"/>
    <w:rsid w:val="00E316B0"/>
    <w:rsid w:val="00E342D4"/>
    <w:rsid w:val="00E35FDD"/>
    <w:rsid w:val="00E3603C"/>
    <w:rsid w:val="00E368C2"/>
    <w:rsid w:val="00E379C2"/>
    <w:rsid w:val="00E4443C"/>
    <w:rsid w:val="00E44F70"/>
    <w:rsid w:val="00E45FFB"/>
    <w:rsid w:val="00E528BE"/>
    <w:rsid w:val="00E55009"/>
    <w:rsid w:val="00E5503C"/>
    <w:rsid w:val="00E5618C"/>
    <w:rsid w:val="00E67168"/>
    <w:rsid w:val="00E75DE3"/>
    <w:rsid w:val="00E76012"/>
    <w:rsid w:val="00E81110"/>
    <w:rsid w:val="00E85975"/>
    <w:rsid w:val="00E865F9"/>
    <w:rsid w:val="00E87214"/>
    <w:rsid w:val="00E87EC4"/>
    <w:rsid w:val="00E907BA"/>
    <w:rsid w:val="00E90D22"/>
    <w:rsid w:val="00E91EA4"/>
    <w:rsid w:val="00E922CD"/>
    <w:rsid w:val="00E92562"/>
    <w:rsid w:val="00E95512"/>
    <w:rsid w:val="00EA1E10"/>
    <w:rsid w:val="00EA2B1E"/>
    <w:rsid w:val="00EA64B7"/>
    <w:rsid w:val="00EB0ACF"/>
    <w:rsid w:val="00EB3E9B"/>
    <w:rsid w:val="00EB6461"/>
    <w:rsid w:val="00EB7890"/>
    <w:rsid w:val="00EC1FEB"/>
    <w:rsid w:val="00EC414D"/>
    <w:rsid w:val="00ED0033"/>
    <w:rsid w:val="00ED09FB"/>
    <w:rsid w:val="00ED1E9D"/>
    <w:rsid w:val="00ED2D66"/>
    <w:rsid w:val="00EE3C3C"/>
    <w:rsid w:val="00EE4817"/>
    <w:rsid w:val="00EE50C3"/>
    <w:rsid w:val="00EE7D4D"/>
    <w:rsid w:val="00EF0A94"/>
    <w:rsid w:val="00EF1F0F"/>
    <w:rsid w:val="00EF2B25"/>
    <w:rsid w:val="00EF3269"/>
    <w:rsid w:val="00EF6679"/>
    <w:rsid w:val="00F0277C"/>
    <w:rsid w:val="00F0293D"/>
    <w:rsid w:val="00F02F92"/>
    <w:rsid w:val="00F03CB1"/>
    <w:rsid w:val="00F06838"/>
    <w:rsid w:val="00F07153"/>
    <w:rsid w:val="00F15BDF"/>
    <w:rsid w:val="00F16BEF"/>
    <w:rsid w:val="00F17CC3"/>
    <w:rsid w:val="00F23DED"/>
    <w:rsid w:val="00F30F48"/>
    <w:rsid w:val="00F34664"/>
    <w:rsid w:val="00F40DB7"/>
    <w:rsid w:val="00F41459"/>
    <w:rsid w:val="00F41C73"/>
    <w:rsid w:val="00F423C0"/>
    <w:rsid w:val="00F511D5"/>
    <w:rsid w:val="00F5481A"/>
    <w:rsid w:val="00F56028"/>
    <w:rsid w:val="00F57BC5"/>
    <w:rsid w:val="00F72038"/>
    <w:rsid w:val="00F72686"/>
    <w:rsid w:val="00F74969"/>
    <w:rsid w:val="00F75B03"/>
    <w:rsid w:val="00F82C04"/>
    <w:rsid w:val="00F839D6"/>
    <w:rsid w:val="00F83B08"/>
    <w:rsid w:val="00F854CD"/>
    <w:rsid w:val="00FA7BFE"/>
    <w:rsid w:val="00FB1735"/>
    <w:rsid w:val="00FB198F"/>
    <w:rsid w:val="00FB34F4"/>
    <w:rsid w:val="00FC3DD0"/>
    <w:rsid w:val="00FC433D"/>
    <w:rsid w:val="00FC47A0"/>
    <w:rsid w:val="00FC5214"/>
    <w:rsid w:val="00FC7265"/>
    <w:rsid w:val="00FD05DD"/>
    <w:rsid w:val="00FE300D"/>
    <w:rsid w:val="00FF1A16"/>
    <w:rsid w:val="00FF1D1E"/>
    <w:rsid w:val="00FF3023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81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2812"/>
    <w:pPr>
      <w:spacing w:after="0" w:line="240" w:lineRule="auto"/>
    </w:pPr>
  </w:style>
  <w:style w:type="table" w:styleId="a5">
    <w:name w:val="Table Grid"/>
    <w:basedOn w:val="a1"/>
    <w:uiPriority w:val="59"/>
    <w:rsid w:val="00092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92812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092812"/>
    <w:pPr>
      <w:autoSpaceDE/>
      <w:autoSpaceDN/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5065EE"/>
    <w:pPr>
      <w:ind w:left="720"/>
      <w:contextualSpacing/>
    </w:pPr>
  </w:style>
  <w:style w:type="character" w:customStyle="1" w:styleId="apple-converted-space">
    <w:name w:val="apple-converted-space"/>
    <w:rsid w:val="00BB5572"/>
  </w:style>
  <w:style w:type="character" w:styleId="a9">
    <w:name w:val="Strong"/>
    <w:basedOn w:val="a0"/>
    <w:uiPriority w:val="22"/>
    <w:qFormat/>
    <w:rsid w:val="00C23519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C850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81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2812"/>
    <w:pPr>
      <w:spacing w:after="0" w:line="240" w:lineRule="auto"/>
    </w:pPr>
  </w:style>
  <w:style w:type="table" w:styleId="a5">
    <w:name w:val="Table Grid"/>
    <w:basedOn w:val="a1"/>
    <w:uiPriority w:val="59"/>
    <w:rsid w:val="00092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92812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092812"/>
    <w:pPr>
      <w:autoSpaceDE/>
      <w:autoSpaceDN/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5065EE"/>
    <w:pPr>
      <w:ind w:left="720"/>
      <w:contextualSpacing/>
    </w:pPr>
  </w:style>
  <w:style w:type="character" w:customStyle="1" w:styleId="apple-converted-space">
    <w:name w:val="apple-converted-space"/>
    <w:rsid w:val="00BB5572"/>
  </w:style>
  <w:style w:type="character" w:styleId="a9">
    <w:name w:val="Strong"/>
    <w:basedOn w:val="a0"/>
    <w:uiPriority w:val="22"/>
    <w:qFormat/>
    <w:rsid w:val="00C23519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C85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827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ubanener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A869DB9-3241-401D-87A3-AD97EB077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4976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Maria</cp:lastModifiedBy>
  <cp:revision>640</cp:revision>
  <dcterms:created xsi:type="dcterms:W3CDTF">2013-09-10T08:51:00Z</dcterms:created>
  <dcterms:modified xsi:type="dcterms:W3CDTF">2015-04-27T13:31:00Z</dcterms:modified>
</cp:coreProperties>
</file>