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FE" w:rsidRPr="005A4B74" w:rsidRDefault="002C38FE" w:rsidP="002C38FE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4B74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C38FE" w:rsidRPr="005A4B74" w:rsidRDefault="002C38FE" w:rsidP="002C38FE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4B74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2C38FE" w:rsidRPr="005A4B74" w:rsidRDefault="002C38FE" w:rsidP="002C38FE">
      <w:pPr>
        <w:pStyle w:val="a5"/>
        <w:ind w:right="14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4B7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5A4B74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5A4B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6C1B02">
            <w:pPr>
              <w:pStyle w:val="a5"/>
              <w:numPr>
                <w:ilvl w:val="0"/>
                <w:numId w:val="1"/>
              </w:num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2C38FE" w:rsidRPr="005A4B74" w:rsidTr="002C38FE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2C38FE" w:rsidRPr="005A4B74" w:rsidTr="002C38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PJSC</w:t>
            </w:r>
          </w:p>
        </w:tc>
      </w:tr>
      <w:tr w:rsidR="002C38FE" w:rsidRPr="005A4B74" w:rsidTr="002C38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 xml:space="preserve">2A, </w:t>
            </w:r>
            <w:proofErr w:type="spellStart"/>
            <w:r w:rsidRPr="005A4B74">
              <w:rPr>
                <w:lang w:val="en-US" w:eastAsia="en-US"/>
              </w:rPr>
              <w:t>Stavropolskaya</w:t>
            </w:r>
            <w:proofErr w:type="spellEnd"/>
            <w:r w:rsidRPr="005A4B74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2C38FE" w:rsidRPr="005A4B74" w:rsidTr="002C38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2C38FE" w:rsidRPr="005A4B74" w:rsidTr="002C38FE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2C38FE" w:rsidRPr="005A4B74" w:rsidTr="002C38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2C38FE" w:rsidRPr="005A4B74" w:rsidTr="002C38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5A4B74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C38FE" w:rsidRPr="005A4B7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2C38FE" w:rsidRPr="005A4B74" w:rsidRDefault="005A4B74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C38FE" w:rsidRPr="005A4B7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ind w:right="140"/>
              <w:jc w:val="both"/>
              <w:rPr>
                <w:b/>
                <w:bCs/>
                <w:lang w:val="en-US" w:eastAsia="en-US"/>
              </w:rPr>
            </w:pPr>
            <w:r w:rsidRPr="005A4B74">
              <w:rPr>
                <w:lang w:val="en-US" w:eastAsia="en-US"/>
              </w:rPr>
              <w:t>2. Statement content</w:t>
            </w:r>
          </w:p>
        </w:tc>
      </w:tr>
      <w:tr w:rsidR="002C38FE" w:rsidRPr="005A4B74" w:rsidTr="002C38FE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tabs>
                <w:tab w:val="left" w:pos="284"/>
              </w:tabs>
              <w:ind w:right="140"/>
              <w:jc w:val="both"/>
              <w:rPr>
                <w:b/>
                <w:lang w:val="en-US" w:eastAsia="en-US"/>
              </w:rPr>
            </w:pPr>
            <w:r w:rsidRPr="005A4B74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2C38FE" w:rsidRPr="005A4B74" w:rsidRDefault="002C38FE">
            <w:pPr>
              <w:widowControl w:val="0"/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Number of BoD members: 11 persons</w:t>
            </w:r>
          </w:p>
          <w:p w:rsidR="002C38FE" w:rsidRPr="005A4B74" w:rsidRDefault="002C38FE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 xml:space="preserve">Members participated in the meeting: 11 persons </w:t>
            </w:r>
          </w:p>
          <w:p w:rsidR="002C38FE" w:rsidRPr="005A4B74" w:rsidRDefault="002C38FE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2C38FE" w:rsidRPr="005A4B74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38FE" w:rsidRPr="005A4B74" w:rsidRDefault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38FE" w:rsidRPr="005A4B74" w:rsidRDefault="002C38FE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2C38FE" w:rsidRPr="005A4B74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38FE" w:rsidRPr="005A4B74" w:rsidRDefault="002C38FE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38FE" w:rsidRPr="005A4B74" w:rsidRDefault="002C38FE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38FE" w:rsidRPr="005A4B74" w:rsidRDefault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38FE" w:rsidRPr="005A4B74" w:rsidRDefault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3B49" w:rsidRPr="005A4B7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4B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49" w:rsidRPr="005A4B74" w:rsidRDefault="00493B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C38FE" w:rsidRPr="005A4B74" w:rsidRDefault="002C38FE">
            <w:pPr>
              <w:tabs>
                <w:tab w:val="left" w:pos="3355"/>
              </w:tabs>
              <w:ind w:right="140"/>
              <w:jc w:val="both"/>
              <w:rPr>
                <w:lang w:val="en-US" w:eastAsia="en-US"/>
              </w:rPr>
            </w:pP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tabs>
                <w:tab w:val="left" w:pos="426"/>
                <w:tab w:val="left" w:pos="993"/>
              </w:tabs>
              <w:ind w:right="140"/>
              <w:jc w:val="center"/>
              <w:rPr>
                <w:b/>
                <w:lang w:val="en-US" w:eastAsia="en-US"/>
              </w:rPr>
            </w:pPr>
            <w:r w:rsidRPr="005A4B74">
              <w:rPr>
                <w:b/>
                <w:lang w:val="en-US" w:eastAsia="en-US"/>
              </w:rPr>
              <w:t>Disclosure of insider information on item No. 1 “</w:t>
            </w:r>
            <w:r w:rsidRPr="005A4B74">
              <w:rPr>
                <w:b/>
                <w:color w:val="000000"/>
                <w:lang w:val="en-US"/>
              </w:rPr>
              <w:t>On approval of cash flow benchmarks of Kubanenergo PJSC for the 4</w:t>
            </w:r>
            <w:r w:rsidRPr="005A4B74">
              <w:rPr>
                <w:b/>
                <w:color w:val="000000"/>
                <w:vertAlign w:val="superscript"/>
                <w:lang w:val="en-US"/>
              </w:rPr>
              <w:t>th</w:t>
            </w:r>
            <w:r w:rsidRPr="005A4B74">
              <w:rPr>
                <w:b/>
                <w:color w:val="000000"/>
                <w:lang w:val="en-US"/>
              </w:rPr>
              <w:t xml:space="preserve"> quarter of 2015</w:t>
            </w:r>
            <w:r w:rsidRPr="005A4B74">
              <w:rPr>
                <w:b/>
                <w:lang w:val="en-US" w:eastAsia="en-US"/>
              </w:rPr>
              <w:t>”.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2.2.1.  Decision adopted by issuer’s Board of Directors:</w:t>
            </w:r>
          </w:p>
          <w:p w:rsidR="002C38FE" w:rsidRPr="005A4B74" w:rsidRDefault="002C38FE" w:rsidP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74E22" w:rsidRPr="005A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To approve the cash flow indicators for the 4</w:t>
            </w:r>
            <w:r w:rsidR="00074E22" w:rsidRPr="005A4B7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074E22" w:rsidRPr="005A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quarter of 2015: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723"/>
              <w:gridCol w:w="6828"/>
            </w:tblGrid>
            <w:tr w:rsidR="00074E22" w:rsidRPr="005A4B74" w:rsidTr="00074E22">
              <w:tc>
                <w:tcPr>
                  <w:tcW w:w="2723" w:type="dxa"/>
                </w:tcPr>
                <w:p w:rsidR="00074E22" w:rsidRPr="005A4B74" w:rsidRDefault="00074E22" w:rsidP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Month</w:t>
                  </w:r>
                </w:p>
              </w:tc>
              <w:tc>
                <w:tcPr>
                  <w:tcW w:w="6828" w:type="dxa"/>
                </w:tcPr>
                <w:p w:rsidR="00074E22" w:rsidRPr="005A4B74" w:rsidRDefault="00074E22" w:rsidP="00074E22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Services on development of power grid complex </w:t>
                  </w:r>
                </w:p>
              </w:tc>
            </w:tr>
            <w:tr w:rsidR="00074E22" w:rsidRPr="005A4B74" w:rsidTr="00074E22">
              <w:tc>
                <w:tcPr>
                  <w:tcW w:w="2723" w:type="dxa"/>
                </w:tcPr>
                <w:p w:rsidR="00074E22" w:rsidRPr="005A4B74" w:rsidRDefault="00074E22" w:rsidP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October</w:t>
                  </w:r>
                </w:p>
              </w:tc>
              <w:tc>
                <w:tcPr>
                  <w:tcW w:w="6828" w:type="dxa"/>
                </w:tcPr>
                <w:p w:rsidR="00074E22" w:rsidRPr="005A4B74" w:rsidRDefault="00074E22">
                  <w:r w:rsidRPr="005A4B74">
                    <w:t>7 521</w:t>
                  </w:r>
                </w:p>
              </w:tc>
            </w:tr>
            <w:tr w:rsidR="00074E22" w:rsidRPr="005A4B74" w:rsidTr="00074E22">
              <w:tc>
                <w:tcPr>
                  <w:tcW w:w="2723" w:type="dxa"/>
                </w:tcPr>
                <w:p w:rsidR="00074E22" w:rsidRPr="005A4B74" w:rsidRDefault="00074E22" w:rsidP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November</w:t>
                  </w:r>
                </w:p>
              </w:tc>
              <w:tc>
                <w:tcPr>
                  <w:tcW w:w="6828" w:type="dxa"/>
                </w:tcPr>
                <w:p w:rsidR="00074E22" w:rsidRPr="005A4B74" w:rsidRDefault="00074E22">
                  <w:r w:rsidRPr="005A4B74">
                    <w:t>7 521</w:t>
                  </w:r>
                </w:p>
              </w:tc>
            </w:tr>
            <w:tr w:rsidR="00074E22" w:rsidRPr="005A4B74" w:rsidTr="00074E22">
              <w:tc>
                <w:tcPr>
                  <w:tcW w:w="2723" w:type="dxa"/>
                </w:tcPr>
                <w:p w:rsidR="00074E22" w:rsidRPr="005A4B74" w:rsidRDefault="00074E22" w:rsidP="002C38FE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A4B7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December</w:t>
                  </w:r>
                </w:p>
              </w:tc>
              <w:tc>
                <w:tcPr>
                  <w:tcW w:w="6828" w:type="dxa"/>
                </w:tcPr>
                <w:p w:rsidR="00074E22" w:rsidRPr="005A4B74" w:rsidRDefault="00074E22">
                  <w:r w:rsidRPr="005A4B74">
                    <w:t>7 521</w:t>
                  </w:r>
                </w:p>
              </w:tc>
            </w:tr>
          </w:tbl>
          <w:p w:rsidR="00074E22" w:rsidRPr="005A4B74" w:rsidRDefault="00074E22" w:rsidP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74E22" w:rsidRPr="005A4B74" w:rsidRDefault="00074E22" w:rsidP="00074E22">
            <w:pPr>
              <w:pStyle w:val="a5"/>
              <w:numPr>
                <w:ilvl w:val="0"/>
                <w:numId w:val="1"/>
              </w:num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instruct director general of the Company to:</w:t>
            </w:r>
          </w:p>
          <w:p w:rsidR="004327DE" w:rsidRPr="005A4B74" w:rsidRDefault="004327DE" w:rsidP="004327DE">
            <w:pPr>
              <w:pStyle w:val="a5"/>
              <w:numPr>
                <w:ilvl w:val="0"/>
                <w:numId w:val="4"/>
              </w:num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the preparation and the further  approval of draft cash flow within 5 days upon the approval of the resolution</w:t>
            </w:r>
          </w:p>
          <w:p w:rsidR="00074E22" w:rsidRPr="005A4B74" w:rsidRDefault="004327DE" w:rsidP="004327DE">
            <w:pPr>
              <w:pStyle w:val="a5"/>
              <w:numPr>
                <w:ilvl w:val="0"/>
                <w:numId w:val="4"/>
              </w:num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submit the abovementioned document to the BoD for its consideration  within 1 day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upon the approval of the resolution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2 “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approval of cash flow benchmarks of Kubanenergo PJSC for the 4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quarter of 2015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”.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 Decision adopted by issuer’s Board of Directors:</w:t>
            </w:r>
          </w:p>
          <w:p w:rsidR="002C38FE" w:rsidRPr="005A4B74" w:rsidRDefault="00153C11">
            <w:pPr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Trade secret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3 “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On approval of report on the results of the business plan (as well as investments programme and information on key risks) of 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Kubanenergo PJSC in the 2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quarter and 6 months of 2015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2.2.3.  Decision adopted by issuer’s Board of Directors:</w:t>
            </w:r>
          </w:p>
          <w:p w:rsidR="002C38FE" w:rsidRPr="005A4B74" w:rsidRDefault="00153C11">
            <w:pPr>
              <w:tabs>
                <w:tab w:val="left" w:pos="34"/>
                <w:tab w:val="left" w:pos="264"/>
              </w:tabs>
              <w:adjustRightInd w:val="0"/>
              <w:ind w:right="140"/>
              <w:jc w:val="both"/>
              <w:outlineLvl w:val="3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Trade secret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4 “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approval of results of implementation of key indicators of efficiency of the director general in the 2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quarter of 2015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2.2.4.  Decision adopted by issuer’s Board of Directors:</w:t>
            </w:r>
          </w:p>
          <w:p w:rsidR="002C38FE" w:rsidRPr="005A4B74" w:rsidRDefault="002C38FE" w:rsidP="00153C11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3C11"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approve the </w:t>
            </w:r>
            <w:r w:rsidR="00153C11" w:rsidRPr="005A4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implementation of key indicators of efficiency of the director general in the 2</w:t>
            </w:r>
            <w:r w:rsidR="00153C11" w:rsidRPr="005A4B7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="00153C11" w:rsidRPr="005A4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quarter of 2015, in accordance with Annex 2 to the resolution of the BoD.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5 “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approval of Plan of activities of Kubanenergo PJSC on reduction of overdue accounts payable for the services of energy transmission and settlement of disputes as of 01.07.2015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2.2.5.  Decision adopted by issuer’s Board of Directors:</w:t>
            </w:r>
          </w:p>
          <w:p w:rsidR="002C38FE" w:rsidRPr="005A4B74" w:rsidRDefault="004327DE" w:rsidP="004327DE">
            <w:pPr>
              <w:tabs>
                <w:tab w:val="left" w:pos="204"/>
              </w:tabs>
              <w:ind w:right="140"/>
              <w:jc w:val="both"/>
              <w:rPr>
                <w:color w:val="000000"/>
                <w:lang w:val="en-US"/>
              </w:rPr>
            </w:pPr>
            <w:r w:rsidRPr="005A4B74">
              <w:rPr>
                <w:lang w:val="en-US" w:eastAsia="en-US"/>
              </w:rPr>
              <w:t xml:space="preserve">1. To approve the </w:t>
            </w:r>
            <w:r w:rsidRPr="005A4B74">
              <w:rPr>
                <w:color w:val="000000"/>
                <w:lang w:val="en-US"/>
              </w:rPr>
              <w:t xml:space="preserve">Plan of activities of Kubanenergo PJSC on reduction of overdue accounts payable for the services of energy transmission and settlement of disputes as of 01.07.2015, in accordance with Annex </w:t>
            </w:r>
            <w:r w:rsidRPr="005A4B74">
              <w:rPr>
                <w:color w:val="000000"/>
                <w:lang w:val="en-US"/>
              </w:rPr>
              <w:t>3</w:t>
            </w:r>
            <w:r w:rsidRPr="005A4B74">
              <w:rPr>
                <w:color w:val="000000"/>
                <w:lang w:val="en-US"/>
              </w:rPr>
              <w:t xml:space="preserve"> to the resolution of the BoD</w:t>
            </w:r>
            <w:r w:rsidRPr="005A4B74">
              <w:rPr>
                <w:color w:val="000000"/>
                <w:lang w:val="en-US"/>
              </w:rPr>
              <w:t>.</w:t>
            </w:r>
          </w:p>
          <w:p w:rsidR="004327DE" w:rsidRPr="005A4B74" w:rsidRDefault="004327DE" w:rsidP="004327DE">
            <w:pPr>
              <w:tabs>
                <w:tab w:val="left" w:pos="204"/>
              </w:tabs>
              <w:ind w:right="140"/>
              <w:jc w:val="both"/>
              <w:rPr>
                <w:color w:val="000000"/>
                <w:lang w:val="en-US"/>
              </w:rPr>
            </w:pPr>
            <w:r w:rsidRPr="005A4B74">
              <w:rPr>
                <w:color w:val="000000"/>
                <w:lang w:val="en-US"/>
              </w:rPr>
              <w:t xml:space="preserve">2. To take into consideration the Report on implementation of the previously approved by the BoD </w:t>
            </w:r>
            <w:r w:rsidRPr="005A4B74">
              <w:rPr>
                <w:color w:val="000000"/>
                <w:lang w:val="en-US"/>
              </w:rPr>
              <w:t>Plan of activities of Kubanenergo PJSC on reduction of overdue accounts payable for the services of energy transmission and settlement of disputes as of</w:t>
            </w:r>
            <w:r w:rsidRPr="005A4B74">
              <w:rPr>
                <w:color w:val="000000"/>
                <w:lang w:val="en-US"/>
              </w:rPr>
              <w:t xml:space="preserve"> 01.04.2015</w:t>
            </w:r>
            <w:r w:rsidRPr="005A4B74">
              <w:rPr>
                <w:color w:val="000000"/>
                <w:lang w:val="en-US"/>
              </w:rPr>
              <w:t xml:space="preserve">, in accordance with Annex </w:t>
            </w:r>
            <w:r w:rsidRPr="005A4B74">
              <w:rPr>
                <w:color w:val="000000"/>
                <w:lang w:val="en-US"/>
              </w:rPr>
              <w:t>4</w:t>
            </w:r>
            <w:r w:rsidRPr="005A4B74">
              <w:rPr>
                <w:color w:val="000000"/>
                <w:lang w:val="en-US"/>
              </w:rPr>
              <w:t xml:space="preserve"> to the resolution of the BoD.</w:t>
            </w:r>
          </w:p>
          <w:p w:rsidR="004327DE" w:rsidRPr="005A4B74" w:rsidRDefault="004327DE" w:rsidP="004327DE">
            <w:pPr>
              <w:tabs>
                <w:tab w:val="left" w:pos="204"/>
              </w:tabs>
              <w:ind w:right="140"/>
              <w:jc w:val="both"/>
              <w:rPr>
                <w:lang w:val="en-US" w:eastAsia="en-US"/>
              </w:rPr>
            </w:pPr>
            <w:r w:rsidRPr="005A4B74">
              <w:rPr>
                <w:color w:val="000000"/>
                <w:lang w:val="en-US"/>
              </w:rPr>
              <w:t xml:space="preserve">3. </w:t>
            </w:r>
            <w:r w:rsidRPr="005A4B74">
              <w:rPr>
                <w:color w:val="000000"/>
                <w:lang w:val="en-US"/>
              </w:rPr>
              <w:t>To take into consideration the Report on</w:t>
            </w:r>
            <w:r w:rsidRPr="005A4B74">
              <w:rPr>
                <w:color w:val="000000"/>
                <w:lang w:val="en-US"/>
              </w:rPr>
              <w:t xml:space="preserve"> works carried out by Kubanenergo in respect of the newly formed overdue a</w:t>
            </w:r>
            <w:r w:rsidRPr="005A4B74">
              <w:rPr>
                <w:color w:val="000000"/>
                <w:lang w:val="en-US"/>
              </w:rPr>
              <w:t xml:space="preserve">ccounts payable for the services of energy transmission, in accordance with Annex </w:t>
            </w:r>
            <w:r w:rsidRPr="005A4B74">
              <w:rPr>
                <w:color w:val="000000"/>
                <w:lang w:val="en-US"/>
              </w:rPr>
              <w:t>5</w:t>
            </w:r>
            <w:r w:rsidRPr="005A4B74">
              <w:rPr>
                <w:color w:val="000000"/>
                <w:lang w:val="en-US"/>
              </w:rPr>
              <w:t xml:space="preserve"> to the resolution of the BoD.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No.6 “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fixing the amount of payment for the services of the Auditor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2.2.6.  Decision adopted by issuer’s Board of Directors:</w:t>
            </w:r>
          </w:p>
          <w:p w:rsidR="002C38FE" w:rsidRPr="005A4B74" w:rsidRDefault="004327DE" w:rsidP="005A4B74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fix the amount of payment for services of RSM </w:t>
            </w:r>
            <w:proofErr w:type="spellStart"/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LCC </w:t>
            </w:r>
            <w:r w:rsidR="005A4B74"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audit of accounting (financial) report under RAS and audit of consolidated accounting (financial) statements under IFRS 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rendered in 2015</w:t>
            </w:r>
            <w:r w:rsidR="005A4B74"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shall be 1 614 104.40 (one million six hundred fourteen thousand one hundred and four) rubles and 40 kopeks, including 18% VAT</w:t>
            </w: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4B74"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- 246 219.30 (two hundred forty six thousand two hundred twelve) rubles 32 kopeks.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 w:rsidP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No.7 “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taking into consideration the report of director general of Kubanenergo PJSC on credit policy of the Company in the</w:t>
            </w:r>
            <w:r w:rsidR="005A4B74"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2n</w:t>
            </w:r>
            <w:r w:rsidRPr="005A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 quarter of 2015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2.2.7.  Decision adopted by issuer’s Board of Directors:</w:t>
            </w:r>
          </w:p>
          <w:p w:rsidR="005A4B74" w:rsidRPr="005A4B74" w:rsidRDefault="005A4B74" w:rsidP="005A4B74">
            <w:pPr>
              <w:tabs>
                <w:tab w:val="left" w:pos="204"/>
              </w:tabs>
              <w:ind w:right="140"/>
              <w:jc w:val="both"/>
              <w:rPr>
                <w:color w:val="000000"/>
                <w:lang w:val="en-US"/>
              </w:rPr>
            </w:pPr>
            <w:r w:rsidRPr="005A4B74">
              <w:rPr>
                <w:lang w:val="en-US"/>
              </w:rPr>
              <w:t xml:space="preserve">To take </w:t>
            </w:r>
            <w:r w:rsidRPr="005A4B74">
              <w:rPr>
                <w:color w:val="000000"/>
                <w:lang w:val="en-US"/>
              </w:rPr>
              <w:t>into consideration the report of director general of Kubanenergo PJSC on credit policy of the Company in the</w:t>
            </w:r>
            <w:r w:rsidRPr="005A4B74">
              <w:rPr>
                <w:color w:val="000000"/>
                <w:lang w:val="en-US"/>
              </w:rPr>
              <w:t xml:space="preserve"> 2n</w:t>
            </w:r>
            <w:r w:rsidRPr="005A4B74">
              <w:rPr>
                <w:color w:val="000000"/>
                <w:lang w:val="en-US"/>
              </w:rPr>
              <w:t xml:space="preserve">d quarter of 2015, in accordance with Annex </w:t>
            </w:r>
            <w:r w:rsidRPr="005A4B74">
              <w:rPr>
                <w:color w:val="000000"/>
                <w:lang w:val="en-US"/>
              </w:rPr>
              <w:t>6</w:t>
            </w:r>
            <w:r w:rsidRPr="005A4B74">
              <w:rPr>
                <w:color w:val="000000"/>
                <w:lang w:val="en-US"/>
              </w:rPr>
              <w:t xml:space="preserve"> to the resolution of the BoD.</w:t>
            </w:r>
          </w:p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38FE" w:rsidRPr="005A4B74" w:rsidTr="002C38FE">
        <w:trPr>
          <w:trHeight w:val="11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 Date of holding the meeting of Board of Directors: 28 September 2015</w:t>
            </w:r>
          </w:p>
          <w:p w:rsidR="002C38FE" w:rsidRPr="005A4B74" w:rsidRDefault="002C38FE" w:rsidP="002C38F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 Date of making and number of minutes of meeting: 30 September 2015, minutes of meeting No.220/2015</w:t>
            </w:r>
            <w:r w:rsidRPr="005A4B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2C38FE" w:rsidRPr="005A4B74" w:rsidTr="002C38F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E" w:rsidRPr="005A4B74" w:rsidRDefault="002C38FE">
            <w:pPr>
              <w:pStyle w:val="a5"/>
              <w:ind w:left="36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2C38FE" w:rsidRPr="005A4B74" w:rsidTr="002C38FE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8FE" w:rsidRPr="005A4B74" w:rsidRDefault="002C38FE">
            <w:pPr>
              <w:spacing w:line="276" w:lineRule="auto"/>
              <w:ind w:left="57"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3.1 Deputy director general in charge of corporate management (attorney No. 4D-1602 dated 01.07.2015)</w:t>
            </w:r>
          </w:p>
          <w:p w:rsidR="002C38FE" w:rsidRPr="005A4B74" w:rsidRDefault="002C38FE">
            <w:pPr>
              <w:spacing w:line="276" w:lineRule="auto"/>
              <w:ind w:right="140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proofErr w:type="spellStart"/>
            <w:r w:rsidRPr="005A4B74">
              <w:rPr>
                <w:lang w:val="en-US" w:eastAsia="en-US"/>
              </w:rPr>
              <w:t>Konevets</w:t>
            </w:r>
            <w:proofErr w:type="spellEnd"/>
            <w:r w:rsidRPr="005A4B74">
              <w:rPr>
                <w:lang w:val="en-US" w:eastAsia="en-US"/>
              </w:rPr>
              <w:t xml:space="preserve"> K.S.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2C38FE" w:rsidRPr="005A4B74" w:rsidTr="002C38F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38FE" w:rsidRPr="005A4B74" w:rsidRDefault="002C38FE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2C38FE" w:rsidRPr="005A4B74" w:rsidTr="002C38FE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38FE" w:rsidRPr="005A4B74" w:rsidRDefault="002C38FE" w:rsidP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>3.2 Date: 1 October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2C38FE" w:rsidRPr="005A4B74" w:rsidTr="002C38FE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5A4B74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8FE" w:rsidRPr="005A4B74" w:rsidRDefault="002C38F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</w:tbl>
    <w:p w:rsidR="002C38FE" w:rsidRPr="005A4B74" w:rsidRDefault="002C38FE" w:rsidP="002C38FE">
      <w:pPr>
        <w:ind w:right="140"/>
        <w:jc w:val="both"/>
        <w:rPr>
          <w:lang w:val="en-US"/>
        </w:rPr>
      </w:pPr>
    </w:p>
    <w:p w:rsidR="002C38FE" w:rsidRPr="005A4B74" w:rsidRDefault="002C38FE" w:rsidP="002C38FE"/>
    <w:p w:rsidR="00C65A3E" w:rsidRPr="005A4B74" w:rsidRDefault="00C65A3E"/>
    <w:sectPr w:rsidR="00C65A3E" w:rsidRPr="005A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F7A"/>
    <w:multiLevelType w:val="multilevel"/>
    <w:tmpl w:val="DDA497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A567FA2"/>
    <w:multiLevelType w:val="hybridMultilevel"/>
    <w:tmpl w:val="6560915A"/>
    <w:lvl w:ilvl="0" w:tplc="9FE216C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54A60"/>
    <w:multiLevelType w:val="multilevel"/>
    <w:tmpl w:val="EF3A0D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FE"/>
    <w:rsid w:val="00074E22"/>
    <w:rsid w:val="00153C11"/>
    <w:rsid w:val="002C38FE"/>
    <w:rsid w:val="004327DE"/>
    <w:rsid w:val="00493B49"/>
    <w:rsid w:val="005A4B74"/>
    <w:rsid w:val="00C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8F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C38FE"/>
  </w:style>
  <w:style w:type="paragraph" w:styleId="a5">
    <w:name w:val="No Spacing"/>
    <w:link w:val="a4"/>
    <w:uiPriority w:val="1"/>
    <w:qFormat/>
    <w:rsid w:val="002C38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38FE"/>
    <w:pPr>
      <w:ind w:left="720"/>
      <w:contextualSpacing/>
    </w:pPr>
  </w:style>
  <w:style w:type="table" w:styleId="a7">
    <w:name w:val="Table Grid"/>
    <w:basedOn w:val="a1"/>
    <w:uiPriority w:val="59"/>
    <w:rsid w:val="002C3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8F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C38FE"/>
  </w:style>
  <w:style w:type="paragraph" w:styleId="a5">
    <w:name w:val="No Spacing"/>
    <w:link w:val="a4"/>
    <w:uiPriority w:val="1"/>
    <w:qFormat/>
    <w:rsid w:val="002C38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38FE"/>
    <w:pPr>
      <w:ind w:left="720"/>
      <w:contextualSpacing/>
    </w:pPr>
  </w:style>
  <w:style w:type="table" w:styleId="a7">
    <w:name w:val="Table Grid"/>
    <w:basedOn w:val="a1"/>
    <w:uiPriority w:val="59"/>
    <w:rsid w:val="002C3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2015-10-03T05:27:00Z</dcterms:created>
  <dcterms:modified xsi:type="dcterms:W3CDTF">2015-10-05T10:43:00Z</dcterms:modified>
</cp:coreProperties>
</file>