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Approved by:</w:t>
      </w:r>
    </w:p>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proofErr w:type="gramStart"/>
      <w:r>
        <w:rPr>
          <w:rFonts w:ascii="Times New Roman" w:hAnsi="Times New Roman"/>
          <w:sz w:val="24"/>
          <w:szCs w:val="24"/>
          <w:lang w:val="en-US"/>
        </w:rPr>
        <w:t>decision</w:t>
      </w:r>
      <w:proofErr w:type="gramEnd"/>
      <w:r>
        <w:rPr>
          <w:rFonts w:ascii="Times New Roman" w:hAnsi="Times New Roman"/>
          <w:sz w:val="24"/>
          <w:szCs w:val="24"/>
          <w:lang w:val="en-US"/>
        </w:rPr>
        <w:t xml:space="preserve"> of the General meeting of Kubanenergo JSC shareholders</w:t>
      </w:r>
    </w:p>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minutes</w:t>
      </w:r>
      <w:proofErr w:type="gramEnd"/>
      <w:r>
        <w:rPr>
          <w:rFonts w:ascii="Times New Roman" w:hAnsi="Times New Roman"/>
          <w:sz w:val="24"/>
          <w:szCs w:val="24"/>
          <w:lang w:val="en-US"/>
        </w:rPr>
        <w:t xml:space="preserve"> No. 23 dated June __ 2008</w:t>
      </w:r>
    </w:p>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p>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 xml:space="preserve">Chairperson </w:t>
      </w:r>
    </w:p>
    <w:p w:rsidR="00432582" w:rsidRDefault="00432582" w:rsidP="00432582">
      <w:pPr>
        <w:autoSpaceDE w:val="0"/>
        <w:autoSpaceDN w:val="0"/>
        <w:adjustRightInd w:val="0"/>
        <w:spacing w:after="0" w:line="240" w:lineRule="auto"/>
        <w:jc w:val="right"/>
        <w:rPr>
          <w:rFonts w:ascii="Times New Roman" w:hAnsi="Times New Roman"/>
          <w:sz w:val="24"/>
          <w:szCs w:val="24"/>
          <w:lang w:val="en-US"/>
        </w:rPr>
      </w:pPr>
      <w:proofErr w:type="gramStart"/>
      <w:r>
        <w:rPr>
          <w:rFonts w:ascii="Times New Roman" w:hAnsi="Times New Roman"/>
          <w:sz w:val="24"/>
          <w:szCs w:val="24"/>
          <w:lang w:val="en-US"/>
        </w:rPr>
        <w:t xml:space="preserve">____________________ </w:t>
      </w:r>
      <w:proofErr w:type="spellStart"/>
      <w:r>
        <w:rPr>
          <w:rFonts w:ascii="Times New Roman" w:hAnsi="Times New Roman"/>
          <w:sz w:val="24"/>
          <w:szCs w:val="24"/>
          <w:lang w:val="en-US"/>
        </w:rPr>
        <w:t>Rappoport</w:t>
      </w:r>
      <w:proofErr w:type="spellEnd"/>
      <w:r>
        <w:rPr>
          <w:rFonts w:ascii="Times New Roman" w:hAnsi="Times New Roman"/>
          <w:sz w:val="24"/>
          <w:szCs w:val="24"/>
          <w:lang w:val="en-US"/>
        </w:rPr>
        <w:t xml:space="preserve"> A.N.</w:t>
      </w:r>
      <w:proofErr w:type="gramEnd"/>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Default="00432582" w:rsidP="00432582">
      <w:pPr>
        <w:autoSpaceDE w:val="0"/>
        <w:autoSpaceDN w:val="0"/>
        <w:adjustRightInd w:val="0"/>
        <w:spacing w:after="0" w:line="240" w:lineRule="auto"/>
        <w:jc w:val="center"/>
        <w:rPr>
          <w:rFonts w:ascii="Times New Roman" w:hAnsi="Times New Roman"/>
          <w:b/>
          <w:bCs/>
          <w:sz w:val="36"/>
          <w:szCs w:val="36"/>
          <w:lang w:val="en-US"/>
        </w:rPr>
      </w:pPr>
    </w:p>
    <w:p w:rsidR="00432582" w:rsidRPr="00432582" w:rsidRDefault="00432582" w:rsidP="00432582">
      <w:pPr>
        <w:autoSpaceDE w:val="0"/>
        <w:autoSpaceDN w:val="0"/>
        <w:adjustRightInd w:val="0"/>
        <w:spacing w:after="0" w:line="240" w:lineRule="auto"/>
        <w:jc w:val="center"/>
        <w:rPr>
          <w:rFonts w:ascii="Times New Roman" w:hAnsi="Times New Roman"/>
          <w:b/>
          <w:bCs/>
          <w:sz w:val="28"/>
          <w:szCs w:val="28"/>
          <w:lang w:val="en-US"/>
        </w:rPr>
      </w:pPr>
      <w:r w:rsidRPr="00432582">
        <w:rPr>
          <w:rFonts w:ascii="Times New Roman" w:hAnsi="Times New Roman"/>
          <w:b/>
          <w:bCs/>
          <w:sz w:val="28"/>
          <w:szCs w:val="28"/>
          <w:lang w:val="en-US"/>
        </w:rPr>
        <w:t>Regulations</w:t>
      </w:r>
    </w:p>
    <w:p w:rsidR="00432582" w:rsidRPr="00432582" w:rsidRDefault="00432582" w:rsidP="00432582">
      <w:pPr>
        <w:autoSpaceDE w:val="0"/>
        <w:autoSpaceDN w:val="0"/>
        <w:adjustRightInd w:val="0"/>
        <w:spacing w:after="0" w:line="240" w:lineRule="auto"/>
        <w:jc w:val="center"/>
        <w:rPr>
          <w:rFonts w:ascii="Times New Roman" w:hAnsi="Times New Roman"/>
          <w:b/>
          <w:bCs/>
          <w:sz w:val="28"/>
          <w:szCs w:val="28"/>
          <w:lang w:val="en-US"/>
        </w:rPr>
      </w:pPr>
      <w:proofErr w:type="gramStart"/>
      <w:r w:rsidRPr="00432582">
        <w:rPr>
          <w:rFonts w:ascii="Times New Roman" w:hAnsi="Times New Roman"/>
          <w:b/>
          <w:bCs/>
          <w:sz w:val="28"/>
          <w:szCs w:val="28"/>
          <w:lang w:val="en-US"/>
        </w:rPr>
        <w:t>on</w:t>
      </w:r>
      <w:proofErr w:type="gramEnd"/>
      <w:r w:rsidRPr="00432582">
        <w:rPr>
          <w:rFonts w:ascii="Times New Roman" w:hAnsi="Times New Roman"/>
          <w:b/>
          <w:bCs/>
          <w:sz w:val="28"/>
          <w:szCs w:val="28"/>
          <w:lang w:val="en-US"/>
        </w:rPr>
        <w:t xml:space="preserve"> remuneration and compensations to members of the Board of Directors of Joint stock company of power industry and electrification of Kuban </w:t>
      </w:r>
    </w:p>
    <w:p w:rsidR="00432582" w:rsidRDefault="00432582" w:rsidP="00432582">
      <w:pPr>
        <w:autoSpaceDE w:val="0"/>
        <w:autoSpaceDN w:val="0"/>
        <w:adjustRightInd w:val="0"/>
        <w:spacing w:after="0" w:line="240" w:lineRule="auto"/>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Krasnodar</w:t>
      </w: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2008</w:t>
      </w: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autoSpaceDE w:val="0"/>
        <w:autoSpaceDN w:val="0"/>
        <w:adjustRightInd w:val="0"/>
        <w:spacing w:after="0" w:line="240" w:lineRule="auto"/>
        <w:jc w:val="center"/>
        <w:rPr>
          <w:rFonts w:ascii="Times New Roman" w:hAnsi="Times New Roman"/>
          <w:sz w:val="24"/>
          <w:szCs w:val="24"/>
          <w:lang w:val="en-US"/>
        </w:rPr>
      </w:pPr>
    </w:p>
    <w:p w:rsidR="00432582" w:rsidRDefault="00432582" w:rsidP="00432582">
      <w:pPr>
        <w:rPr>
          <w:rFonts w:ascii="Times New Roman" w:hAnsi="Times New Roman"/>
          <w:sz w:val="24"/>
          <w:szCs w:val="24"/>
          <w:lang w:val="en-US"/>
        </w:rPr>
      </w:pPr>
    </w:p>
    <w:p w:rsidR="00432582" w:rsidRDefault="00432582" w:rsidP="00432582">
      <w:pPr>
        <w:numPr>
          <w:ilvl w:val="0"/>
          <w:numId w:val="1"/>
        </w:numPr>
        <w:ind w:left="426" w:hanging="426"/>
        <w:jc w:val="both"/>
        <w:rPr>
          <w:rFonts w:ascii="Times New Roman" w:hAnsi="Times New Roman"/>
          <w:sz w:val="28"/>
          <w:szCs w:val="28"/>
          <w:lang w:val="en-US"/>
        </w:rPr>
      </w:pPr>
      <w:r>
        <w:rPr>
          <w:rFonts w:ascii="Times New Roman" w:hAnsi="Times New Roman"/>
          <w:sz w:val="28"/>
          <w:szCs w:val="28"/>
          <w:lang w:val="en-US"/>
        </w:rPr>
        <w:lastRenderedPageBreak/>
        <w:t>The Regulations are elaborated in accordance with the Federal Law “On Joint Stock Companies” and establish the amount and procedure of payment of remuneration and compensation to the members of the Board of Directors of Kubanenergo JSC (hereinafter referred to as the Company).</w:t>
      </w:r>
    </w:p>
    <w:p w:rsidR="00432582" w:rsidRDefault="00432582" w:rsidP="00432582">
      <w:pPr>
        <w:numPr>
          <w:ilvl w:val="0"/>
          <w:numId w:val="1"/>
        </w:numPr>
        <w:ind w:left="426" w:hanging="426"/>
        <w:jc w:val="both"/>
        <w:rPr>
          <w:rFonts w:ascii="Times New Roman" w:hAnsi="Times New Roman"/>
          <w:sz w:val="28"/>
          <w:szCs w:val="28"/>
          <w:lang w:val="en-US"/>
        </w:rPr>
      </w:pPr>
      <w:r>
        <w:rPr>
          <w:rFonts w:ascii="Times New Roman" w:hAnsi="Times New Roman"/>
          <w:sz w:val="28"/>
          <w:szCs w:val="28"/>
          <w:lang w:val="en-US"/>
        </w:rPr>
        <w:t>Remuneration and compensation are not accrued and paid to Chairperson and those members of the Board of Directors in relation to whom restriction or interdiction for reception of profit from commercial organizations is stipulated by the federal laws.</w:t>
      </w:r>
    </w:p>
    <w:p w:rsidR="00432582" w:rsidRDefault="00432582" w:rsidP="00432582">
      <w:pPr>
        <w:numPr>
          <w:ilvl w:val="0"/>
          <w:numId w:val="1"/>
        </w:numPr>
        <w:ind w:left="426" w:hanging="426"/>
        <w:jc w:val="both"/>
        <w:rPr>
          <w:rFonts w:ascii="Times New Roman" w:hAnsi="Times New Roman"/>
          <w:sz w:val="28"/>
          <w:szCs w:val="28"/>
          <w:lang w:val="en-US"/>
        </w:rPr>
      </w:pPr>
      <w:r>
        <w:rPr>
          <w:rFonts w:ascii="Times New Roman" w:hAnsi="Times New Roman"/>
          <w:sz w:val="28"/>
          <w:szCs w:val="28"/>
          <w:lang w:val="en-US"/>
        </w:rPr>
        <w:t>Payment of remuneration and compensation is performed by the Company in the monetary form.</w:t>
      </w:r>
    </w:p>
    <w:p w:rsidR="00432582" w:rsidRDefault="00432582" w:rsidP="00432582">
      <w:pPr>
        <w:numPr>
          <w:ilvl w:val="0"/>
          <w:numId w:val="1"/>
        </w:numPr>
        <w:ind w:left="426" w:hanging="426"/>
        <w:rPr>
          <w:rFonts w:ascii="Times New Roman" w:hAnsi="Times New Roman"/>
          <w:sz w:val="28"/>
          <w:szCs w:val="28"/>
          <w:lang w:val="en-US"/>
        </w:rPr>
      </w:pPr>
      <w:r>
        <w:rPr>
          <w:rFonts w:ascii="Times New Roman" w:hAnsi="Times New Roman"/>
          <w:sz w:val="28"/>
          <w:szCs w:val="28"/>
          <w:lang w:val="en-US"/>
        </w:rPr>
        <w:t>Payment of remuneration.</w:t>
      </w:r>
    </w:p>
    <w:p w:rsidR="00432582" w:rsidRDefault="00432582" w:rsidP="00432582">
      <w:pPr>
        <w:numPr>
          <w:ilvl w:val="1"/>
          <w:numId w:val="1"/>
        </w:numPr>
        <w:ind w:left="426" w:hanging="426"/>
        <w:jc w:val="both"/>
        <w:rPr>
          <w:rFonts w:ascii="Times New Roman" w:hAnsi="Times New Roman"/>
          <w:sz w:val="28"/>
          <w:szCs w:val="28"/>
          <w:lang w:val="en-US"/>
        </w:rPr>
      </w:pPr>
      <w:r>
        <w:rPr>
          <w:rFonts w:ascii="Times New Roman" w:hAnsi="Times New Roman"/>
          <w:sz w:val="28"/>
          <w:szCs w:val="28"/>
          <w:lang w:val="en-US"/>
        </w:rPr>
        <w:t>For participation in the Board of Directors meeting held in the absentee form (by filling in a questionnaire), a member of the Board of Directors receives payment equal to 3(three) minimum monthly wage rates of the first-class worker established by the industry wage agreement in the RF power complex (hereinafter referred to as the Agreement) at the date of holding the Company Board of Directors meeting, taking into account indexations established by the Agreement, within seven calendar days after holding the Company Board of Directors meeting.</w:t>
      </w:r>
    </w:p>
    <w:p w:rsidR="00432582" w:rsidRDefault="00432582" w:rsidP="00432582">
      <w:pPr>
        <w:ind w:left="426"/>
        <w:jc w:val="both"/>
        <w:rPr>
          <w:rFonts w:ascii="Times New Roman" w:hAnsi="Times New Roman"/>
          <w:sz w:val="28"/>
          <w:szCs w:val="28"/>
          <w:lang w:val="en-US"/>
        </w:rPr>
      </w:pPr>
      <w:r>
        <w:rPr>
          <w:rFonts w:ascii="Times New Roman" w:hAnsi="Times New Roman"/>
          <w:sz w:val="28"/>
          <w:szCs w:val="28"/>
          <w:lang w:val="en-US"/>
        </w:rPr>
        <w:t>For participation in the Board of Directors meeting held in the form of joint presence (by filling in a questionnaire), a member of the Board of Directors receives payment equal to 5 (five) minimum monthly wage rates of the first-class worker established by the industry wage agreement in the RF power complex (hereinafter referred to as the Agreement) at the date of holding the Company Board of Directors meeting, taking into account indexations established by the Agreement, within seven calendar days after holding the Company Board of Directors meeting.</w:t>
      </w:r>
    </w:p>
    <w:p w:rsidR="00432582" w:rsidRDefault="00432582" w:rsidP="00432582">
      <w:pPr>
        <w:ind w:left="426"/>
        <w:jc w:val="both"/>
        <w:rPr>
          <w:rFonts w:ascii="Times New Roman" w:hAnsi="Times New Roman"/>
          <w:sz w:val="28"/>
          <w:szCs w:val="28"/>
          <w:lang w:val="en-US"/>
        </w:rPr>
      </w:pPr>
      <w:r>
        <w:rPr>
          <w:rFonts w:ascii="Times New Roman" w:hAnsi="Times New Roman"/>
          <w:sz w:val="28"/>
          <w:szCs w:val="28"/>
          <w:lang w:val="en-US"/>
        </w:rPr>
        <w:t>The amount of remuneration paid in accordance with item 4.1 of the Regulations, the Chairperson (Deputy Chairperson) increases by 50 % for every meeting, at which he/she performed functions of the Chairperson of the Board of Director (hereinafter referred to as exercise of functions of Chairperson).</w:t>
      </w:r>
    </w:p>
    <w:p w:rsidR="00432582" w:rsidRDefault="00432582" w:rsidP="00432582">
      <w:pPr>
        <w:numPr>
          <w:ilvl w:val="1"/>
          <w:numId w:val="1"/>
        </w:numPr>
        <w:ind w:left="426" w:hanging="426"/>
        <w:jc w:val="both"/>
        <w:rPr>
          <w:rFonts w:ascii="Times New Roman" w:hAnsi="Times New Roman"/>
          <w:sz w:val="28"/>
          <w:szCs w:val="28"/>
          <w:lang w:val="en-US"/>
        </w:rPr>
      </w:pPr>
      <w:r>
        <w:rPr>
          <w:rFonts w:ascii="Times New Roman" w:hAnsi="Times New Roman"/>
          <w:sz w:val="28"/>
          <w:szCs w:val="28"/>
          <w:lang w:val="en-US"/>
        </w:rPr>
        <w:t>Members of the Board of Directors receive additional remuneration for net profit index of the Company according to the data of the annual financial statements adopted by the general shareholders meeting of the Company.</w:t>
      </w:r>
    </w:p>
    <w:p w:rsidR="00432582" w:rsidRDefault="00432582" w:rsidP="00432582">
      <w:pPr>
        <w:ind w:left="426" w:hanging="426"/>
        <w:rPr>
          <w:rFonts w:ascii="Times New Roman" w:hAnsi="Times New Roman"/>
          <w:sz w:val="28"/>
          <w:szCs w:val="28"/>
          <w:lang w:val="en-US"/>
        </w:rPr>
      </w:pPr>
      <w:r>
        <w:rPr>
          <w:rFonts w:ascii="Times New Roman" w:hAnsi="Times New Roman"/>
          <w:sz w:val="28"/>
          <w:szCs w:val="28"/>
          <w:lang w:val="en-US"/>
        </w:rPr>
        <w:lastRenderedPageBreak/>
        <w:t>4.2.1. The amount of remuneration paid to the member of the Board of Directors is calculated based on the following formula:</w:t>
      </w:r>
    </w:p>
    <w:p w:rsidR="00432582" w:rsidRDefault="00432582" w:rsidP="00432582">
      <w:pPr>
        <w:ind w:firstLine="540"/>
        <w:rPr>
          <w:rFonts w:ascii="Times New Roman" w:hAnsi="Times New Roman"/>
          <w:sz w:val="24"/>
          <w:szCs w:val="24"/>
          <w:lang w:val="en-US"/>
        </w:rPr>
      </w:pPr>
    </w:p>
    <w:tbl>
      <w:tblPr>
        <w:tblW w:w="0" w:type="auto"/>
        <w:tblInd w:w="2943" w:type="dxa"/>
        <w:tblBorders>
          <w:insideH w:val="single" w:sz="4" w:space="0" w:color="auto"/>
        </w:tblBorders>
        <w:tblLayout w:type="fixed"/>
        <w:tblLook w:val="04A0" w:firstRow="1" w:lastRow="0" w:firstColumn="1" w:lastColumn="0" w:noHBand="0" w:noVBand="1"/>
      </w:tblPr>
      <w:tblGrid>
        <w:gridCol w:w="708"/>
        <w:gridCol w:w="2778"/>
        <w:gridCol w:w="1419"/>
      </w:tblGrid>
      <w:tr w:rsidR="00432582" w:rsidTr="00432582">
        <w:trPr>
          <w:cantSplit/>
        </w:trPr>
        <w:tc>
          <w:tcPr>
            <w:tcW w:w="708" w:type="dxa"/>
            <w:vMerge w:val="restart"/>
          </w:tcPr>
          <w:p w:rsidR="00432582" w:rsidRDefault="00432582">
            <w:pPr>
              <w:tabs>
                <w:tab w:val="left" w:pos="709"/>
              </w:tabs>
              <w:ind w:firstLine="540"/>
              <w:jc w:val="both"/>
              <w:rPr>
                <w:rFonts w:ascii="Times New Roman" w:hAnsi="Times New Roman"/>
                <w:sz w:val="24"/>
                <w:szCs w:val="24"/>
                <w:lang w:val="en-US"/>
              </w:rPr>
            </w:pPr>
          </w:p>
          <w:p w:rsidR="00432582" w:rsidRDefault="00432582">
            <w:pPr>
              <w:tabs>
                <w:tab w:val="left" w:pos="33"/>
              </w:tabs>
              <w:jc w:val="both"/>
              <w:rPr>
                <w:rFonts w:ascii="Times New Roman" w:hAnsi="Times New Roman"/>
                <w:sz w:val="24"/>
                <w:szCs w:val="24"/>
              </w:rPr>
            </w:pPr>
            <w:r>
              <w:rPr>
                <w:rFonts w:ascii="Times New Roman" w:hAnsi="Times New Roman"/>
                <w:sz w:val="24"/>
                <w:szCs w:val="24"/>
              </w:rPr>
              <w:t>S =</w:t>
            </w:r>
          </w:p>
        </w:tc>
        <w:tc>
          <w:tcPr>
            <w:tcW w:w="2778" w:type="dxa"/>
            <w:tcBorders>
              <w:top w:val="nil"/>
              <w:left w:val="nil"/>
              <w:bottom w:val="single" w:sz="4" w:space="0" w:color="auto"/>
              <w:right w:val="nil"/>
            </w:tcBorders>
          </w:tcPr>
          <w:p w:rsidR="00432582" w:rsidRDefault="00432582">
            <w:pPr>
              <w:tabs>
                <w:tab w:val="left" w:pos="709"/>
              </w:tabs>
              <w:ind w:firstLine="540"/>
              <w:rPr>
                <w:rFonts w:ascii="Times New Roman" w:hAnsi="Times New Roman"/>
                <w:sz w:val="24"/>
                <w:szCs w:val="24"/>
              </w:rPr>
            </w:pPr>
            <w:r>
              <w:rPr>
                <w:rFonts w:ascii="Times New Roman" w:hAnsi="Times New Roman"/>
                <w:sz w:val="24"/>
                <w:szCs w:val="24"/>
                <w:lang w:val="en-US"/>
              </w:rPr>
              <w:t>NP</w:t>
            </w:r>
            <w:r>
              <w:rPr>
                <w:rFonts w:ascii="Times New Roman" w:hAnsi="Times New Roman"/>
                <w:sz w:val="24"/>
                <w:szCs w:val="24"/>
              </w:rPr>
              <w:t xml:space="preserve"> * </w:t>
            </w:r>
            <w:r>
              <w:rPr>
                <w:rFonts w:ascii="Times New Roman" w:hAnsi="Times New Roman"/>
                <w:sz w:val="24"/>
                <w:szCs w:val="24"/>
                <w:lang w:val="en-US"/>
              </w:rPr>
              <w:t>n</w:t>
            </w:r>
          </w:p>
          <w:p w:rsidR="00432582" w:rsidRDefault="00432582">
            <w:pPr>
              <w:tabs>
                <w:tab w:val="left" w:pos="709"/>
              </w:tabs>
              <w:ind w:firstLine="540"/>
              <w:jc w:val="both"/>
              <w:rPr>
                <w:rFonts w:ascii="Times New Roman" w:hAnsi="Times New Roman"/>
                <w:sz w:val="24"/>
                <w:szCs w:val="24"/>
              </w:rPr>
            </w:pPr>
          </w:p>
        </w:tc>
        <w:tc>
          <w:tcPr>
            <w:tcW w:w="1419" w:type="dxa"/>
            <w:vMerge w:val="restart"/>
          </w:tcPr>
          <w:p w:rsidR="00432582" w:rsidRDefault="00432582">
            <w:pPr>
              <w:tabs>
                <w:tab w:val="left" w:pos="709"/>
              </w:tabs>
              <w:ind w:firstLine="540"/>
              <w:jc w:val="both"/>
              <w:rPr>
                <w:rFonts w:ascii="Times New Roman" w:hAnsi="Times New Roman"/>
                <w:sz w:val="24"/>
                <w:szCs w:val="24"/>
              </w:rPr>
            </w:pPr>
          </w:p>
          <w:p w:rsidR="00432582" w:rsidRDefault="00432582">
            <w:pPr>
              <w:tabs>
                <w:tab w:val="left" w:pos="709"/>
              </w:tabs>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where</w:t>
            </w:r>
          </w:p>
        </w:tc>
      </w:tr>
      <w:tr w:rsidR="00432582" w:rsidTr="00432582">
        <w:trPr>
          <w:cantSplit/>
        </w:trPr>
        <w:tc>
          <w:tcPr>
            <w:tcW w:w="708" w:type="dxa"/>
            <w:vMerge/>
            <w:vAlign w:val="center"/>
            <w:hideMark/>
          </w:tcPr>
          <w:p w:rsidR="00432582" w:rsidRDefault="00432582">
            <w:pPr>
              <w:spacing w:after="0" w:line="240" w:lineRule="auto"/>
              <w:rPr>
                <w:rFonts w:ascii="Times New Roman" w:hAnsi="Times New Roman"/>
                <w:sz w:val="24"/>
                <w:szCs w:val="24"/>
              </w:rPr>
            </w:pPr>
          </w:p>
        </w:tc>
        <w:tc>
          <w:tcPr>
            <w:tcW w:w="2778" w:type="dxa"/>
            <w:tcBorders>
              <w:top w:val="single" w:sz="4" w:space="0" w:color="auto"/>
              <w:left w:val="nil"/>
              <w:bottom w:val="nil"/>
              <w:right w:val="nil"/>
            </w:tcBorders>
          </w:tcPr>
          <w:p w:rsidR="00432582" w:rsidRDefault="00432582">
            <w:pPr>
              <w:tabs>
                <w:tab w:val="left" w:pos="709"/>
              </w:tabs>
              <w:ind w:firstLine="540"/>
              <w:jc w:val="both"/>
              <w:rPr>
                <w:rFonts w:ascii="Times New Roman" w:hAnsi="Times New Roman"/>
                <w:sz w:val="24"/>
                <w:szCs w:val="24"/>
              </w:rPr>
            </w:pPr>
          </w:p>
          <w:p w:rsidR="00432582" w:rsidRDefault="00432582">
            <w:pPr>
              <w:tabs>
                <w:tab w:val="left" w:pos="709"/>
              </w:tabs>
              <w:ind w:firstLine="540"/>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00 *</w:t>
            </w:r>
            <w:r>
              <w:rPr>
                <w:rFonts w:ascii="Times New Roman" w:hAnsi="Times New Roman"/>
                <w:sz w:val="24"/>
                <w:szCs w:val="24"/>
                <w:lang w:val="en-US"/>
              </w:rPr>
              <w:t>x</w:t>
            </w:r>
            <w:r>
              <w:rPr>
                <w:rFonts w:ascii="Times New Roman" w:hAnsi="Times New Roman"/>
                <w:sz w:val="24"/>
                <w:szCs w:val="24"/>
              </w:rPr>
              <w:t xml:space="preserve"> * </w:t>
            </w:r>
            <w:r>
              <w:rPr>
                <w:rFonts w:ascii="Times New Roman" w:hAnsi="Times New Roman"/>
                <w:sz w:val="24"/>
                <w:szCs w:val="24"/>
                <w:lang w:val="en-US"/>
              </w:rPr>
              <w:t>m</w:t>
            </w:r>
          </w:p>
        </w:tc>
        <w:tc>
          <w:tcPr>
            <w:tcW w:w="1419" w:type="dxa"/>
            <w:vMerge/>
            <w:vAlign w:val="center"/>
            <w:hideMark/>
          </w:tcPr>
          <w:p w:rsidR="00432582" w:rsidRDefault="00432582">
            <w:pPr>
              <w:spacing w:after="0" w:line="240" w:lineRule="auto"/>
              <w:rPr>
                <w:rFonts w:ascii="Times New Roman" w:hAnsi="Times New Roman"/>
                <w:sz w:val="24"/>
                <w:szCs w:val="24"/>
                <w:lang w:val="en-US"/>
              </w:rPr>
            </w:pPr>
          </w:p>
        </w:tc>
      </w:tr>
    </w:tbl>
    <w:p w:rsidR="00432582" w:rsidRDefault="00432582" w:rsidP="00432582">
      <w:pPr>
        <w:ind w:firstLine="540"/>
        <w:rPr>
          <w:rFonts w:ascii="Times New Roman" w:hAnsi="Times New Roman"/>
          <w:sz w:val="24"/>
          <w:szCs w:val="24"/>
          <w:lang w:val="en-US"/>
        </w:rPr>
      </w:pPr>
    </w:p>
    <w:p w:rsidR="00432582" w:rsidRDefault="00432582" w:rsidP="00432582">
      <w:pPr>
        <w:ind w:firstLine="540"/>
        <w:rPr>
          <w:rFonts w:ascii="Times New Roman" w:hAnsi="Times New Roman"/>
          <w:sz w:val="32"/>
          <w:szCs w:val="32"/>
          <w:lang w:val="en-US"/>
        </w:rPr>
      </w:pPr>
      <w:r>
        <w:rPr>
          <w:rFonts w:ascii="Times New Roman" w:hAnsi="Times New Roman"/>
          <w:sz w:val="32"/>
          <w:szCs w:val="32"/>
          <w:lang w:val="en-US"/>
        </w:rPr>
        <w:t xml:space="preserve">S – </w:t>
      </w:r>
      <w:proofErr w:type="gramStart"/>
      <w:r>
        <w:rPr>
          <w:rFonts w:ascii="Times New Roman" w:hAnsi="Times New Roman"/>
          <w:sz w:val="32"/>
          <w:szCs w:val="32"/>
          <w:lang w:val="en-US"/>
        </w:rPr>
        <w:t>the</w:t>
      </w:r>
      <w:proofErr w:type="gramEnd"/>
      <w:r>
        <w:rPr>
          <w:rFonts w:ascii="Times New Roman" w:hAnsi="Times New Roman"/>
          <w:sz w:val="32"/>
          <w:szCs w:val="32"/>
          <w:lang w:val="en-US"/>
        </w:rPr>
        <w:t xml:space="preserve"> sum of additional remuneration paid to one member of the Board of  Directors, based on the results of the financial year;</w:t>
      </w:r>
    </w:p>
    <w:p w:rsidR="00432582" w:rsidRDefault="00432582" w:rsidP="00432582">
      <w:pPr>
        <w:ind w:firstLine="540"/>
        <w:rPr>
          <w:rFonts w:ascii="Times New Roman" w:hAnsi="Times New Roman"/>
          <w:sz w:val="32"/>
          <w:szCs w:val="32"/>
          <w:lang w:val="en-US"/>
        </w:rPr>
      </w:pPr>
      <w:r>
        <w:rPr>
          <w:rFonts w:ascii="Times New Roman" w:hAnsi="Times New Roman"/>
          <w:sz w:val="32"/>
          <w:szCs w:val="32"/>
          <w:lang w:val="en-US"/>
        </w:rPr>
        <w:t>NP – the Company’s net profit approved by the decision of the annual General meeting of shareholders;</w:t>
      </w:r>
    </w:p>
    <w:p w:rsidR="00432582" w:rsidRDefault="00432582" w:rsidP="00432582">
      <w:pPr>
        <w:ind w:firstLine="540"/>
        <w:rPr>
          <w:rFonts w:ascii="Times New Roman" w:hAnsi="Times New Roman"/>
          <w:sz w:val="32"/>
          <w:szCs w:val="32"/>
          <w:lang w:val="en-US"/>
        </w:rPr>
      </w:pPr>
      <w:r>
        <w:rPr>
          <w:rFonts w:ascii="Times New Roman" w:hAnsi="Times New Roman"/>
          <w:sz w:val="32"/>
          <w:szCs w:val="32"/>
          <w:lang w:val="en-US"/>
        </w:rPr>
        <w:t>n – the quantity of the meetings of the Board of  Directors of the Company, in which a member of the Board of  Directors (regardless of their form) took part during the year in which the Company got the net profit on the results of its activity;</w:t>
      </w:r>
    </w:p>
    <w:p w:rsidR="00432582" w:rsidRDefault="00432582" w:rsidP="00432582">
      <w:pPr>
        <w:ind w:firstLine="540"/>
        <w:rPr>
          <w:rFonts w:ascii="Times New Roman" w:hAnsi="Times New Roman"/>
          <w:sz w:val="32"/>
          <w:szCs w:val="32"/>
          <w:lang w:val="en-US"/>
        </w:rPr>
      </w:pPr>
      <w:r>
        <w:rPr>
          <w:rFonts w:ascii="Times New Roman" w:hAnsi="Times New Roman"/>
          <w:sz w:val="32"/>
          <w:szCs w:val="32"/>
          <w:lang w:val="en-US"/>
        </w:rPr>
        <w:t xml:space="preserve">x – </w:t>
      </w:r>
      <w:proofErr w:type="gramStart"/>
      <w:r>
        <w:rPr>
          <w:rFonts w:ascii="Times New Roman" w:hAnsi="Times New Roman"/>
          <w:sz w:val="32"/>
          <w:szCs w:val="32"/>
          <w:lang w:val="en-US"/>
        </w:rPr>
        <w:t>the</w:t>
      </w:r>
      <w:proofErr w:type="gramEnd"/>
      <w:r>
        <w:rPr>
          <w:rFonts w:ascii="Times New Roman" w:hAnsi="Times New Roman"/>
          <w:sz w:val="32"/>
          <w:szCs w:val="32"/>
          <w:lang w:val="en-US"/>
        </w:rPr>
        <w:t xml:space="preserve"> quantity of the members of the Board of  Directors according to the Statute;</w:t>
      </w:r>
    </w:p>
    <w:p w:rsidR="00432582" w:rsidRDefault="00432582" w:rsidP="00432582">
      <w:pPr>
        <w:ind w:firstLine="540"/>
        <w:rPr>
          <w:rFonts w:ascii="Times New Roman" w:hAnsi="Times New Roman"/>
          <w:sz w:val="32"/>
          <w:szCs w:val="32"/>
          <w:lang w:val="en-US"/>
        </w:rPr>
      </w:pPr>
      <w:r>
        <w:rPr>
          <w:rFonts w:ascii="Times New Roman" w:hAnsi="Times New Roman"/>
          <w:sz w:val="32"/>
          <w:szCs w:val="32"/>
          <w:lang w:val="en-US"/>
        </w:rPr>
        <w:t xml:space="preserve">m – </w:t>
      </w:r>
      <w:proofErr w:type="gramStart"/>
      <w:r>
        <w:rPr>
          <w:rFonts w:ascii="Times New Roman" w:hAnsi="Times New Roman"/>
          <w:sz w:val="32"/>
          <w:szCs w:val="32"/>
          <w:lang w:val="en-US"/>
        </w:rPr>
        <w:t>the</w:t>
      </w:r>
      <w:proofErr w:type="gramEnd"/>
      <w:r>
        <w:rPr>
          <w:rFonts w:ascii="Times New Roman" w:hAnsi="Times New Roman"/>
          <w:sz w:val="32"/>
          <w:szCs w:val="32"/>
          <w:lang w:val="en-US"/>
        </w:rPr>
        <w:t xml:space="preserve"> quantity of the meetings of the Board of  Directors of the Company during the year in which the Company got the net profit on the results of its activity.</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4.2.2. The amount of remuneration paid according to subparagraph 4.2.1 of the present Regulations to the Chairperson (Deputy Chairperson) for performing functions of the Chairperson of the Board of  Directors of the Company is calculated based on the following formula:</w:t>
      </w:r>
    </w:p>
    <w:p w:rsidR="00432582" w:rsidRDefault="00432582" w:rsidP="00432582">
      <w:pPr>
        <w:ind w:firstLine="540"/>
        <w:rPr>
          <w:rFonts w:ascii="Times New Roman" w:hAnsi="Times New Roman"/>
          <w:sz w:val="24"/>
          <w:szCs w:val="24"/>
          <w:lang w:val="en-US"/>
        </w:rPr>
      </w:pPr>
    </w:p>
    <w:tbl>
      <w:tblPr>
        <w:tblW w:w="0" w:type="auto"/>
        <w:tblInd w:w="1384" w:type="dxa"/>
        <w:tblBorders>
          <w:insideH w:val="single" w:sz="4" w:space="0" w:color="auto"/>
        </w:tblBorders>
        <w:tblLayout w:type="fixed"/>
        <w:tblLook w:val="04A0" w:firstRow="1" w:lastRow="0" w:firstColumn="1" w:lastColumn="0" w:noHBand="0" w:noVBand="1"/>
      </w:tblPr>
      <w:tblGrid>
        <w:gridCol w:w="884"/>
        <w:gridCol w:w="540"/>
        <w:gridCol w:w="558"/>
        <w:gridCol w:w="2700"/>
        <w:gridCol w:w="1242"/>
      </w:tblGrid>
      <w:tr w:rsidR="00432582" w:rsidTr="00432582">
        <w:trPr>
          <w:cantSplit/>
        </w:trPr>
        <w:tc>
          <w:tcPr>
            <w:tcW w:w="884" w:type="dxa"/>
            <w:vMerge w:val="restart"/>
          </w:tcPr>
          <w:p w:rsidR="00432582" w:rsidRDefault="00432582">
            <w:pPr>
              <w:pStyle w:val="3"/>
              <w:ind w:firstLine="0"/>
              <w:rPr>
                <w:rFonts w:ascii="Times New Roman" w:hAnsi="Times New Roman" w:cs="Times New Roman"/>
                <w:sz w:val="24"/>
                <w:szCs w:val="24"/>
                <w:lang w:val="en-US"/>
              </w:rPr>
            </w:pPr>
          </w:p>
          <w:p w:rsidR="00432582" w:rsidRDefault="00432582">
            <w:pPr>
              <w:pStyle w:val="3"/>
              <w:ind w:firstLine="0"/>
              <w:rPr>
                <w:rFonts w:ascii="Times New Roman" w:hAnsi="Times New Roman" w:cs="Times New Roman"/>
                <w:sz w:val="24"/>
                <w:szCs w:val="24"/>
                <w:lang w:val="en-US"/>
              </w:rPr>
            </w:pPr>
          </w:p>
          <w:p w:rsidR="00432582" w:rsidRDefault="00432582">
            <w:pPr>
              <w:pStyle w:val="3"/>
              <w:ind w:firstLine="0"/>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 xml:space="preserve"> =</w:t>
            </w:r>
          </w:p>
        </w:tc>
        <w:tc>
          <w:tcPr>
            <w:tcW w:w="540" w:type="dxa"/>
            <w:vMerge w:val="restart"/>
          </w:tcPr>
          <w:p w:rsidR="00432582" w:rsidRDefault="00432582">
            <w:pPr>
              <w:pStyle w:val="3"/>
              <w:ind w:firstLine="540"/>
              <w:rPr>
                <w:rFonts w:ascii="Times New Roman" w:hAnsi="Times New Roman" w:cs="Times New Roman"/>
                <w:sz w:val="24"/>
                <w:szCs w:val="24"/>
              </w:rPr>
            </w:pPr>
          </w:p>
          <w:p w:rsidR="00432582" w:rsidRDefault="00432582">
            <w:pPr>
              <w:pStyle w:val="3"/>
              <w:ind w:firstLine="540"/>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S</w:t>
            </w:r>
          </w:p>
        </w:tc>
        <w:tc>
          <w:tcPr>
            <w:tcW w:w="558" w:type="dxa"/>
            <w:vMerge w:val="restart"/>
          </w:tcPr>
          <w:p w:rsidR="00432582" w:rsidRDefault="00432582">
            <w:pPr>
              <w:pStyle w:val="3"/>
              <w:ind w:firstLine="540"/>
              <w:rPr>
                <w:rFonts w:ascii="Times New Roman" w:hAnsi="Times New Roman" w:cs="Times New Roman"/>
                <w:sz w:val="24"/>
                <w:szCs w:val="24"/>
              </w:rPr>
            </w:pPr>
          </w:p>
          <w:p w:rsidR="00432582" w:rsidRDefault="00432582">
            <w:pPr>
              <w:pStyle w:val="3"/>
              <w:ind w:firstLine="540"/>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w:t>
            </w:r>
          </w:p>
        </w:tc>
        <w:tc>
          <w:tcPr>
            <w:tcW w:w="2700" w:type="dxa"/>
            <w:tcBorders>
              <w:top w:val="nil"/>
              <w:left w:val="nil"/>
              <w:bottom w:val="single" w:sz="4" w:space="0" w:color="auto"/>
              <w:right w:val="nil"/>
            </w:tcBorders>
          </w:tcPr>
          <w:p w:rsidR="00432582" w:rsidRDefault="00432582">
            <w:pPr>
              <w:pStyle w:val="3"/>
              <w:ind w:firstLine="540"/>
              <w:jc w:val="center"/>
              <w:rPr>
                <w:rFonts w:ascii="Times New Roman" w:hAnsi="Times New Roman" w:cs="Times New Roman"/>
                <w:sz w:val="24"/>
                <w:szCs w:val="24"/>
                <w:lang w:val="en-US"/>
              </w:rPr>
            </w:pPr>
            <w:r>
              <w:rPr>
                <w:rFonts w:ascii="Times New Roman" w:hAnsi="Times New Roman" w:cs="Times New Roman"/>
                <w:sz w:val="24"/>
                <w:szCs w:val="24"/>
                <w:lang w:val="en-US"/>
              </w:rPr>
              <w:t>NP</w:t>
            </w:r>
            <w:r>
              <w:rPr>
                <w:rFonts w:ascii="Times New Roman" w:hAnsi="Times New Roman" w:cs="Times New Roman"/>
                <w:sz w:val="24"/>
                <w:szCs w:val="24"/>
              </w:rPr>
              <w:t xml:space="preserve"> * j*1.5</w:t>
            </w:r>
          </w:p>
          <w:p w:rsidR="00432582" w:rsidRDefault="00432582">
            <w:pPr>
              <w:pStyle w:val="3"/>
              <w:ind w:firstLine="540"/>
              <w:jc w:val="center"/>
              <w:rPr>
                <w:rFonts w:ascii="Times New Roman" w:hAnsi="Times New Roman" w:cs="Times New Roman"/>
                <w:sz w:val="24"/>
                <w:szCs w:val="24"/>
                <w:lang w:val="en-US"/>
              </w:rPr>
            </w:pPr>
          </w:p>
        </w:tc>
        <w:tc>
          <w:tcPr>
            <w:tcW w:w="1242" w:type="dxa"/>
            <w:vMerge w:val="restart"/>
          </w:tcPr>
          <w:p w:rsidR="00432582" w:rsidRDefault="00432582">
            <w:pPr>
              <w:pStyle w:val="3"/>
              <w:ind w:firstLine="540"/>
              <w:rPr>
                <w:rFonts w:ascii="Times New Roman" w:hAnsi="Times New Roman" w:cs="Times New Roman"/>
                <w:sz w:val="24"/>
                <w:szCs w:val="24"/>
              </w:rPr>
            </w:pPr>
          </w:p>
          <w:p w:rsidR="00432582" w:rsidRDefault="00432582">
            <w:pPr>
              <w:rPr>
                <w:rFonts w:ascii="Times New Roman" w:hAnsi="Times New Roman"/>
                <w:sz w:val="24"/>
                <w:szCs w:val="24"/>
                <w:lang w:val="en-US"/>
              </w:rPr>
            </w:pPr>
            <w:r>
              <w:rPr>
                <w:rFonts w:ascii="Times New Roman" w:hAnsi="Times New Roman"/>
                <w:sz w:val="24"/>
                <w:szCs w:val="24"/>
                <w:lang w:val="en-US"/>
              </w:rPr>
              <w:t>, where</w:t>
            </w:r>
          </w:p>
          <w:p w:rsidR="00432582" w:rsidRDefault="00432582">
            <w:pPr>
              <w:pStyle w:val="3"/>
              <w:ind w:firstLine="540"/>
              <w:rPr>
                <w:rFonts w:ascii="Times New Roman" w:hAnsi="Times New Roman" w:cs="Times New Roman"/>
                <w:sz w:val="24"/>
                <w:szCs w:val="24"/>
              </w:rPr>
            </w:pPr>
          </w:p>
        </w:tc>
      </w:tr>
      <w:tr w:rsidR="00432582" w:rsidTr="00432582">
        <w:trPr>
          <w:cantSplit/>
        </w:trPr>
        <w:tc>
          <w:tcPr>
            <w:tcW w:w="884" w:type="dxa"/>
            <w:vMerge/>
            <w:vAlign w:val="center"/>
            <w:hideMark/>
          </w:tcPr>
          <w:p w:rsidR="00432582" w:rsidRDefault="00432582">
            <w:pPr>
              <w:spacing w:after="0" w:line="240" w:lineRule="auto"/>
              <w:rPr>
                <w:rFonts w:ascii="Times New Roman" w:hAnsi="Times New Roman"/>
                <w:sz w:val="24"/>
                <w:szCs w:val="24"/>
              </w:rPr>
            </w:pPr>
          </w:p>
        </w:tc>
        <w:tc>
          <w:tcPr>
            <w:tcW w:w="540" w:type="dxa"/>
            <w:vMerge/>
            <w:vAlign w:val="center"/>
            <w:hideMark/>
          </w:tcPr>
          <w:p w:rsidR="00432582" w:rsidRDefault="00432582">
            <w:pPr>
              <w:spacing w:after="0" w:line="240" w:lineRule="auto"/>
              <w:rPr>
                <w:rFonts w:ascii="Times New Roman" w:hAnsi="Times New Roman"/>
                <w:sz w:val="24"/>
                <w:szCs w:val="24"/>
              </w:rPr>
            </w:pPr>
          </w:p>
        </w:tc>
        <w:tc>
          <w:tcPr>
            <w:tcW w:w="558" w:type="dxa"/>
            <w:vMerge/>
            <w:vAlign w:val="center"/>
            <w:hideMark/>
          </w:tcPr>
          <w:p w:rsidR="00432582" w:rsidRDefault="00432582">
            <w:pPr>
              <w:spacing w:after="0" w:line="240" w:lineRule="auto"/>
              <w:rPr>
                <w:rFonts w:ascii="Times New Roman" w:hAnsi="Times New Roman"/>
                <w:sz w:val="24"/>
                <w:szCs w:val="24"/>
              </w:rPr>
            </w:pPr>
          </w:p>
        </w:tc>
        <w:tc>
          <w:tcPr>
            <w:tcW w:w="2700" w:type="dxa"/>
            <w:tcBorders>
              <w:top w:val="single" w:sz="4" w:space="0" w:color="auto"/>
              <w:left w:val="nil"/>
              <w:bottom w:val="nil"/>
              <w:right w:val="nil"/>
            </w:tcBorders>
            <w:hideMark/>
          </w:tcPr>
          <w:p w:rsidR="00432582" w:rsidRDefault="00432582">
            <w:pPr>
              <w:pStyle w:val="3"/>
              <w:ind w:firstLine="54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 *x * m</w:t>
            </w:r>
          </w:p>
        </w:tc>
        <w:tc>
          <w:tcPr>
            <w:tcW w:w="1242" w:type="dxa"/>
            <w:vMerge/>
            <w:vAlign w:val="center"/>
            <w:hideMark/>
          </w:tcPr>
          <w:p w:rsidR="00432582" w:rsidRDefault="00432582">
            <w:pPr>
              <w:spacing w:after="0" w:line="240" w:lineRule="auto"/>
              <w:rPr>
                <w:rFonts w:ascii="Times New Roman" w:hAnsi="Times New Roman"/>
                <w:sz w:val="24"/>
                <w:szCs w:val="24"/>
              </w:rPr>
            </w:pPr>
          </w:p>
        </w:tc>
      </w:tr>
    </w:tbl>
    <w:p w:rsidR="00432582" w:rsidRDefault="00432582" w:rsidP="00432582">
      <w:pPr>
        <w:ind w:firstLine="540"/>
        <w:jc w:val="both"/>
        <w:rPr>
          <w:rFonts w:ascii="Times New Roman" w:hAnsi="Times New Roman"/>
          <w:sz w:val="28"/>
          <w:szCs w:val="28"/>
          <w:lang w:val="en-US"/>
        </w:rPr>
      </w:pP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lastRenderedPageBreak/>
        <w:t xml:space="preserve">B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sum of remuneration to the Chairperson (Deputy Chairperson) for performing functions of the Chairperson of the Board of  Directors of the Company on the results of the financial year;</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S – the sum of additional remuneration to the Chairperson (Deputy Chairperson) of the Board of  Directors on the results of the financial year for participation in the meetings of the Board of  Directors at which he did not function as the Chairperson of the Board of  Directors;</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NP – the Company’s net profit approved by the decision of the annual General meeting of shareholders;</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j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quantity of the meetings of the Board of  Directors at which the Chairperson (Deputy Chairperson) functioned as the Chairperson of the Board of  Directors;</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x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quantity of the members of the Board of  Directors according to the Statute;</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m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quantity of the meetings of the Board of  Directors of the Company during the year in which the Company got the net profit on the results of its activity.</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4.2.3. If in the year, in which the Company got the net profit on the results of its activity, the Board </w:t>
      </w:r>
      <w:proofErr w:type="gramStart"/>
      <w:r>
        <w:rPr>
          <w:rFonts w:ascii="Times New Roman" w:hAnsi="Times New Roman"/>
          <w:sz w:val="28"/>
          <w:szCs w:val="28"/>
          <w:lang w:val="en-US"/>
        </w:rPr>
        <w:t>of  Directors</w:t>
      </w:r>
      <w:proofErr w:type="gramEnd"/>
      <w:r>
        <w:rPr>
          <w:rFonts w:ascii="Times New Roman" w:hAnsi="Times New Roman"/>
          <w:sz w:val="28"/>
          <w:szCs w:val="28"/>
          <w:lang w:val="en-US"/>
        </w:rPr>
        <w:t xml:space="preserve"> was elected in a new composition, remuneration specified in subparagraphs 4.2.1 and 4.2.2 is also paid to the members of the Board of  Directors of the previous compositions.</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4.3. Additional remuneration is paid to the members of the Board of Directors in case of increasing the amount of the Company’s market capitalization during the period of work of the Board </w:t>
      </w:r>
      <w:proofErr w:type="gramStart"/>
      <w:r>
        <w:rPr>
          <w:rFonts w:ascii="Times New Roman" w:hAnsi="Times New Roman"/>
          <w:sz w:val="28"/>
          <w:szCs w:val="28"/>
          <w:lang w:val="en-US"/>
        </w:rPr>
        <w:t>of  Directors</w:t>
      </w:r>
      <w:proofErr w:type="gramEnd"/>
      <w:r>
        <w:rPr>
          <w:rFonts w:ascii="Times New Roman" w:hAnsi="Times New Roman"/>
          <w:sz w:val="28"/>
          <w:szCs w:val="28"/>
          <w:lang w:val="en-US"/>
        </w:rPr>
        <w:t xml:space="preserve"> (the period from the moment of election of the members of the Board of  Directors till the moment of election of a new composition of the Board of  Directors of the Company).</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t xml:space="preserve">4.3.1. The amount of additional remuneration of the member of the Board </w:t>
      </w:r>
      <w:proofErr w:type="gramStart"/>
      <w:r>
        <w:rPr>
          <w:rFonts w:ascii="Times New Roman" w:hAnsi="Times New Roman"/>
          <w:sz w:val="28"/>
          <w:szCs w:val="28"/>
          <w:lang w:val="en-US"/>
        </w:rPr>
        <w:t>of  Directors</w:t>
      </w:r>
      <w:proofErr w:type="gramEnd"/>
      <w:r>
        <w:rPr>
          <w:rFonts w:ascii="Times New Roman" w:hAnsi="Times New Roman"/>
          <w:sz w:val="28"/>
          <w:szCs w:val="28"/>
          <w:lang w:val="en-US"/>
        </w:rPr>
        <w:t>, paid in accordance with subparagraph 4.3, makes 0.0175% of the increase of the Company’s market value less the increase of the Company’s net assets, expected for the period from the moment of election of the members of the Board of  Directors till the moment of election of a new composition of the Board of  Directors of the Company.</w:t>
      </w:r>
    </w:p>
    <w:p w:rsidR="00432582" w:rsidRDefault="00432582" w:rsidP="00432582">
      <w:pPr>
        <w:jc w:val="both"/>
        <w:rPr>
          <w:rFonts w:ascii="Times New Roman" w:hAnsi="Times New Roman"/>
          <w:sz w:val="28"/>
          <w:szCs w:val="28"/>
          <w:lang w:val="en-US"/>
        </w:rPr>
      </w:pPr>
      <w:r>
        <w:rPr>
          <w:rFonts w:ascii="Times New Roman" w:hAnsi="Times New Roman"/>
          <w:sz w:val="28"/>
          <w:szCs w:val="28"/>
          <w:lang w:val="en-US"/>
        </w:rPr>
        <w:lastRenderedPageBreak/>
        <w:t>To determine the amount of remuneration the calculation of the increase of the Company’s market value less the increase of the Company’s net assets is made as follows:</w:t>
      </w:r>
    </w:p>
    <w:p w:rsidR="00432582" w:rsidRDefault="00432582" w:rsidP="00432582">
      <w:pPr>
        <w:ind w:firstLine="540"/>
        <w:rPr>
          <w:rFonts w:ascii="Times New Roman" w:hAnsi="Times New Roman"/>
          <w:sz w:val="24"/>
          <w:szCs w:val="24"/>
          <w:lang w:val="en-US"/>
        </w:rPr>
      </w:pPr>
    </w:p>
    <w:p w:rsidR="00432582" w:rsidRDefault="00432582" w:rsidP="00432582">
      <w:pPr>
        <w:ind w:firstLine="540"/>
        <w:rPr>
          <w:rFonts w:ascii="Times New Roman" w:hAnsi="Times New Roman"/>
          <w:i/>
          <w:iCs/>
          <w:sz w:val="24"/>
          <w:szCs w:val="24"/>
          <w:vertAlign w:val="subscript"/>
          <w:lang w:val="en-US"/>
        </w:rPr>
      </w:pPr>
      <w:r>
        <w:rPr>
          <w:rFonts w:ascii="Times New Roman" w:hAnsi="Times New Roman"/>
          <w:i/>
          <w:iCs/>
          <w:sz w:val="24"/>
          <w:szCs w:val="24"/>
        </w:rPr>
        <w:sym w:font="Symbol" w:char="F044"/>
      </w:r>
      <w:r>
        <w:rPr>
          <w:rFonts w:ascii="Times New Roman" w:hAnsi="Times New Roman"/>
          <w:i/>
          <w:iCs/>
          <w:sz w:val="24"/>
          <w:szCs w:val="24"/>
          <w:lang w:val="en-US"/>
        </w:rPr>
        <w:t xml:space="preserve">MV = </w:t>
      </w:r>
      <w:proofErr w:type="spellStart"/>
      <w:r>
        <w:rPr>
          <w:rFonts w:ascii="Times New Roman" w:hAnsi="Times New Roman"/>
          <w:i/>
          <w:iCs/>
          <w:sz w:val="24"/>
          <w:szCs w:val="24"/>
          <w:lang w:val="en-US"/>
        </w:rPr>
        <w:t>MC</w:t>
      </w:r>
      <w:r>
        <w:rPr>
          <w:rFonts w:ascii="Times New Roman" w:hAnsi="Times New Roman"/>
          <w:i/>
          <w:iCs/>
          <w:sz w:val="24"/>
          <w:szCs w:val="24"/>
          <w:vertAlign w:val="subscript"/>
          <w:lang w:val="en-US"/>
        </w:rPr>
        <w:t>t</w:t>
      </w:r>
      <w:proofErr w:type="spellEnd"/>
      <w:r>
        <w:rPr>
          <w:rFonts w:ascii="Times New Roman" w:hAnsi="Times New Roman"/>
          <w:i/>
          <w:iCs/>
          <w:sz w:val="24"/>
          <w:szCs w:val="24"/>
          <w:lang w:val="en-US"/>
        </w:rPr>
        <w:t xml:space="preserve"> – MC</w:t>
      </w:r>
      <w:r>
        <w:rPr>
          <w:rFonts w:ascii="Times New Roman" w:hAnsi="Times New Roman"/>
          <w:i/>
          <w:iCs/>
          <w:sz w:val="24"/>
          <w:szCs w:val="24"/>
          <w:vertAlign w:val="subscript"/>
          <w:lang w:val="en-US"/>
        </w:rPr>
        <w:t>t-1</w:t>
      </w:r>
    </w:p>
    <w:p w:rsidR="00432582" w:rsidRDefault="00432582" w:rsidP="00432582">
      <w:pPr>
        <w:ind w:firstLine="540"/>
        <w:rPr>
          <w:rFonts w:ascii="Times New Roman" w:hAnsi="Times New Roman"/>
          <w:i/>
          <w:iCs/>
          <w:sz w:val="24"/>
          <w:szCs w:val="24"/>
          <w:lang w:val="en-US"/>
        </w:rPr>
      </w:pPr>
      <w:r>
        <w:rPr>
          <w:rFonts w:ascii="Times New Roman" w:hAnsi="Times New Roman"/>
          <w:i/>
          <w:iCs/>
          <w:sz w:val="24"/>
          <w:szCs w:val="24"/>
          <w:lang w:val="en-US"/>
        </w:rPr>
        <w:t>(3)</w:t>
      </w:r>
    </w:p>
    <w:p w:rsidR="00432582" w:rsidRDefault="00432582" w:rsidP="00432582">
      <w:pPr>
        <w:ind w:firstLine="540"/>
        <w:jc w:val="both"/>
        <w:rPr>
          <w:rFonts w:ascii="Times New Roman" w:hAnsi="Times New Roman"/>
          <w:i/>
          <w:iCs/>
          <w:sz w:val="28"/>
          <w:szCs w:val="28"/>
          <w:lang w:val="en-US"/>
        </w:rPr>
      </w:pPr>
      <w:proofErr w:type="gramStart"/>
      <w:r>
        <w:rPr>
          <w:rFonts w:ascii="Times New Roman" w:hAnsi="Times New Roman"/>
          <w:sz w:val="28"/>
          <w:szCs w:val="28"/>
          <w:lang w:val="en-US"/>
        </w:rPr>
        <w:t>where</w:t>
      </w:r>
      <w:proofErr w:type="gramEnd"/>
      <w:r>
        <w:rPr>
          <w:rFonts w:ascii="Times New Roman" w:hAnsi="Times New Roman"/>
          <w:sz w:val="28"/>
          <w:szCs w:val="28"/>
          <w:lang w:val="en-US"/>
        </w:rPr>
        <w:t>:</w:t>
      </w:r>
    </w:p>
    <w:p w:rsidR="00432582" w:rsidRDefault="00432582" w:rsidP="00432582">
      <w:pPr>
        <w:ind w:firstLine="540"/>
        <w:jc w:val="both"/>
        <w:rPr>
          <w:rFonts w:ascii="Times New Roman" w:hAnsi="Times New Roman"/>
          <w:sz w:val="28"/>
          <w:szCs w:val="28"/>
          <w:lang w:val="en-US"/>
        </w:rPr>
      </w:pPr>
      <w:r>
        <w:rPr>
          <w:rFonts w:ascii="Times New Roman" w:hAnsi="Times New Roman"/>
          <w:i/>
          <w:iCs/>
          <w:sz w:val="28"/>
          <w:szCs w:val="28"/>
        </w:rPr>
        <w:sym w:font="Symbol" w:char="F044"/>
      </w:r>
      <w:proofErr w:type="gramStart"/>
      <w:r>
        <w:rPr>
          <w:rFonts w:ascii="Times New Roman" w:hAnsi="Times New Roman"/>
          <w:i/>
          <w:iCs/>
          <w:sz w:val="28"/>
          <w:szCs w:val="28"/>
          <w:lang w:val="en-US"/>
        </w:rPr>
        <w:t xml:space="preserve">MV </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the increase of the Company’s market value less the increase of the Company’s net assets;</w:t>
      </w:r>
    </w:p>
    <w:p w:rsidR="00432582" w:rsidRDefault="00432582" w:rsidP="00432582">
      <w:pPr>
        <w:ind w:firstLine="540"/>
        <w:jc w:val="both"/>
        <w:rPr>
          <w:rFonts w:ascii="Times New Roman" w:hAnsi="Times New Roman"/>
          <w:sz w:val="28"/>
          <w:szCs w:val="28"/>
          <w:lang w:val="en-US"/>
        </w:rPr>
      </w:pPr>
      <w:proofErr w:type="spellStart"/>
      <w:proofErr w:type="gramStart"/>
      <w:r>
        <w:rPr>
          <w:rFonts w:ascii="Times New Roman" w:hAnsi="Times New Roman"/>
          <w:i/>
          <w:iCs/>
          <w:sz w:val="28"/>
          <w:szCs w:val="28"/>
          <w:lang w:val="en-US"/>
        </w:rPr>
        <w:t>MC</w:t>
      </w:r>
      <w:r>
        <w:rPr>
          <w:rFonts w:ascii="Times New Roman" w:hAnsi="Times New Roman"/>
          <w:i/>
          <w:iCs/>
          <w:sz w:val="28"/>
          <w:szCs w:val="28"/>
          <w:vertAlign w:val="subscript"/>
          <w:lang w:val="en-US"/>
        </w:rPr>
        <w:t>t</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t xml:space="preserve"> the average chronological market capitalization of the Company for the period (t);</w:t>
      </w:r>
    </w:p>
    <w:p w:rsidR="00432582" w:rsidRDefault="00432582" w:rsidP="00432582">
      <w:pPr>
        <w:ind w:firstLine="540"/>
        <w:jc w:val="both"/>
        <w:rPr>
          <w:rFonts w:ascii="Times New Roman" w:hAnsi="Times New Roman"/>
          <w:sz w:val="28"/>
          <w:szCs w:val="28"/>
          <w:lang w:val="en-US"/>
        </w:rPr>
      </w:pPr>
      <w:r>
        <w:rPr>
          <w:rFonts w:ascii="Times New Roman" w:hAnsi="Times New Roman"/>
          <w:i/>
          <w:iCs/>
          <w:sz w:val="28"/>
          <w:szCs w:val="28"/>
          <w:lang w:val="en-US"/>
        </w:rPr>
        <w:t>MC</w:t>
      </w:r>
      <w:r>
        <w:rPr>
          <w:rFonts w:ascii="Times New Roman" w:hAnsi="Times New Roman"/>
          <w:i/>
          <w:iCs/>
          <w:sz w:val="28"/>
          <w:szCs w:val="28"/>
          <w:vertAlign w:val="subscript"/>
          <w:lang w:val="en-US"/>
        </w:rPr>
        <w:t>t-1</w:t>
      </w:r>
      <w:r>
        <w:rPr>
          <w:rFonts w:ascii="Times New Roman" w:hAnsi="Times New Roman"/>
          <w:sz w:val="28"/>
          <w:szCs w:val="28"/>
          <w:lang w:val="en-US"/>
        </w:rPr>
        <w:t xml:space="preserve"> – the average chronological market capitalization of the Company for the period (t-1);</w:t>
      </w:r>
    </w:p>
    <w:p w:rsidR="00432582" w:rsidRDefault="00432582" w:rsidP="00432582">
      <w:pPr>
        <w:jc w:val="both"/>
        <w:rPr>
          <w:rFonts w:ascii="Times New Roman" w:hAnsi="Times New Roman"/>
          <w:sz w:val="28"/>
          <w:szCs w:val="28"/>
          <w:lang w:val="en-US"/>
        </w:rPr>
      </w:pPr>
      <w:r>
        <w:rPr>
          <w:rFonts w:ascii="Times New Roman" w:hAnsi="Times New Roman"/>
          <w:sz w:val="28"/>
          <w:szCs w:val="28"/>
          <w:lang w:val="en-US"/>
        </w:rPr>
        <w:t>The average chronological market capitalization of the Company is calculated based on the following formula:</w:t>
      </w:r>
    </w:p>
    <w:p w:rsidR="00432582" w:rsidRDefault="00432582" w:rsidP="00432582">
      <w:pPr>
        <w:ind w:firstLine="540"/>
        <w:jc w:val="center"/>
        <w:rPr>
          <w:rFonts w:ascii="Times New Roman" w:hAnsi="Times New Roman"/>
          <w:sz w:val="24"/>
          <w:szCs w:val="24"/>
          <w:lang w:val="en-US"/>
        </w:rPr>
      </w:pPr>
    </w:p>
    <w:p w:rsidR="00432582" w:rsidRDefault="00432582" w:rsidP="00432582">
      <w:pPr>
        <w:ind w:firstLine="540"/>
        <w:jc w:val="center"/>
        <w:rPr>
          <w:rFonts w:ascii="Times New Roman" w:hAnsi="Times New Roman"/>
          <w:i/>
          <w:iCs/>
          <w:sz w:val="24"/>
          <w:szCs w:val="24"/>
          <w:lang w:val="en-US"/>
        </w:rPr>
      </w:pPr>
      <w:r>
        <w:rPr>
          <w:rFonts w:ascii="Times New Roman" w:hAnsi="Times New Roman"/>
          <w:position w:val="-78"/>
          <w:sz w:val="24"/>
          <w:szCs w:val="24"/>
        </w:rPr>
        <w:object w:dxaOrig="510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9pt;height:68.7pt" o:ole="">
            <v:imagedata r:id="rId8" o:title=""/>
          </v:shape>
          <o:OLEObject Type="Embed" ProgID="Equation.3" ShapeID="_x0000_i1025" DrawAspect="Content" ObjectID="_1409039878" r:id="rId9"/>
        </w:object>
      </w:r>
      <w:r>
        <w:rPr>
          <w:rFonts w:ascii="Times New Roman" w:hAnsi="Times New Roman"/>
          <w:sz w:val="24"/>
          <w:szCs w:val="24"/>
          <w:lang w:val="en-US"/>
        </w:rPr>
        <w:t xml:space="preserve"> </w:t>
      </w:r>
      <w:r>
        <w:rPr>
          <w:rFonts w:ascii="Times New Roman" w:hAnsi="Times New Roman"/>
          <w:i/>
          <w:iCs/>
          <w:sz w:val="24"/>
          <w:szCs w:val="24"/>
          <w:lang w:val="en-US"/>
        </w:rPr>
        <w:t>(2), where</w:t>
      </w:r>
    </w:p>
    <w:p w:rsidR="00432582" w:rsidRDefault="00432582" w:rsidP="00432582">
      <w:pPr>
        <w:ind w:firstLine="540"/>
        <w:jc w:val="both"/>
        <w:rPr>
          <w:rFonts w:ascii="Times New Roman" w:hAnsi="Times New Roman"/>
          <w:sz w:val="28"/>
          <w:szCs w:val="28"/>
          <w:lang w:val="en-US"/>
        </w:rPr>
      </w:pPr>
      <w:proofErr w:type="spellStart"/>
      <w:r>
        <w:rPr>
          <w:rFonts w:ascii="Times New Roman" w:hAnsi="Times New Roman"/>
          <w:sz w:val="28"/>
          <w:szCs w:val="28"/>
          <w:lang w:val="en-US"/>
        </w:rPr>
        <w:t>P</w:t>
      </w:r>
      <w:r>
        <w:rPr>
          <w:rFonts w:ascii="Times New Roman" w:hAnsi="Times New Roman"/>
          <w:sz w:val="28"/>
          <w:szCs w:val="28"/>
          <w:vertAlign w:val="subscript"/>
          <w:lang w:val="en-US"/>
        </w:rPr>
        <w:t>iMICEX</w:t>
      </w:r>
      <w:proofErr w:type="spellEnd"/>
      <w:r>
        <w:rPr>
          <w:rFonts w:ascii="Times New Roman" w:hAnsi="Times New Roman"/>
          <w:sz w:val="28"/>
          <w:szCs w:val="28"/>
          <w:lang w:val="en-US"/>
        </w:rPr>
        <w:t xml:space="preserve"> – the weighted average value of the Company’s shares on </w:t>
      </w:r>
      <w:proofErr w:type="spellStart"/>
      <w:r>
        <w:rPr>
          <w:rFonts w:ascii="Times New Roman" w:hAnsi="Times New Roman"/>
          <w:sz w:val="28"/>
          <w:szCs w:val="28"/>
          <w:lang w:val="en-US"/>
        </w:rPr>
        <w:t>i-th</w:t>
      </w:r>
      <w:proofErr w:type="spellEnd"/>
      <w:r>
        <w:rPr>
          <w:rFonts w:ascii="Times New Roman" w:hAnsi="Times New Roman"/>
          <w:sz w:val="28"/>
          <w:szCs w:val="28"/>
          <w:lang w:val="en-US"/>
        </w:rPr>
        <w:t xml:space="preserve"> trading day of the period at MICEX;</w:t>
      </w:r>
    </w:p>
    <w:p w:rsidR="00432582" w:rsidRDefault="00432582" w:rsidP="00432582">
      <w:pPr>
        <w:ind w:firstLine="540"/>
        <w:jc w:val="both"/>
        <w:rPr>
          <w:rFonts w:ascii="Times New Roman" w:hAnsi="Times New Roman"/>
          <w:sz w:val="28"/>
          <w:szCs w:val="28"/>
          <w:lang w:val="en-US"/>
        </w:rPr>
      </w:pPr>
      <w:proofErr w:type="spellStart"/>
      <w:r>
        <w:rPr>
          <w:rFonts w:ascii="Times New Roman" w:hAnsi="Times New Roman"/>
          <w:sz w:val="28"/>
          <w:szCs w:val="28"/>
          <w:lang w:val="en-US"/>
        </w:rPr>
        <w:t>d</w:t>
      </w:r>
      <w:r>
        <w:rPr>
          <w:rFonts w:ascii="Times New Roman" w:hAnsi="Times New Roman"/>
          <w:sz w:val="28"/>
          <w:szCs w:val="28"/>
          <w:vertAlign w:val="subscript"/>
          <w:lang w:val="en-US"/>
        </w:rPr>
        <w:t>iMICEX</w:t>
      </w:r>
      <w:proofErr w:type="spellEnd"/>
      <w:r>
        <w:rPr>
          <w:rFonts w:ascii="Times New Roman" w:hAnsi="Times New Roman"/>
          <w:sz w:val="28"/>
          <w:szCs w:val="28"/>
          <w:lang w:val="en-US"/>
        </w:rPr>
        <w:t xml:space="preserve"> – the weight of quotation at MICEX, calculated by division of the volume of trades of the Company’s shares at MICEX to the total volume of trades of the Company’s shares at RTS and MICEX (in items) on </w:t>
      </w:r>
      <w:proofErr w:type="spellStart"/>
      <w:r>
        <w:rPr>
          <w:rFonts w:ascii="Times New Roman" w:hAnsi="Times New Roman"/>
          <w:sz w:val="28"/>
          <w:szCs w:val="28"/>
          <w:lang w:val="en-US"/>
        </w:rPr>
        <w:t>i-th</w:t>
      </w:r>
      <w:proofErr w:type="spellEnd"/>
      <w:r>
        <w:rPr>
          <w:rFonts w:ascii="Times New Roman" w:hAnsi="Times New Roman"/>
          <w:sz w:val="28"/>
          <w:szCs w:val="28"/>
          <w:lang w:val="en-US"/>
        </w:rPr>
        <w:t xml:space="preserve"> trading day of the period at MICEX;</w:t>
      </w:r>
    </w:p>
    <w:p w:rsidR="00432582" w:rsidRDefault="00432582" w:rsidP="00432582">
      <w:pPr>
        <w:ind w:firstLine="540"/>
        <w:jc w:val="both"/>
        <w:rPr>
          <w:rFonts w:ascii="Times New Roman" w:hAnsi="Times New Roman"/>
          <w:sz w:val="28"/>
          <w:szCs w:val="28"/>
          <w:lang w:val="en-US"/>
        </w:rPr>
      </w:pPr>
      <w:proofErr w:type="spellStart"/>
      <w:r>
        <w:rPr>
          <w:rFonts w:ascii="Times New Roman" w:hAnsi="Times New Roman"/>
          <w:sz w:val="28"/>
          <w:szCs w:val="28"/>
          <w:lang w:val="en-US"/>
        </w:rPr>
        <w:t>P</w:t>
      </w:r>
      <w:r>
        <w:rPr>
          <w:rFonts w:ascii="Times New Roman" w:hAnsi="Times New Roman"/>
          <w:sz w:val="28"/>
          <w:szCs w:val="28"/>
          <w:vertAlign w:val="subscript"/>
          <w:lang w:val="en-US"/>
        </w:rPr>
        <w:t>iRTS</w:t>
      </w:r>
      <w:proofErr w:type="spellEnd"/>
      <w:r>
        <w:rPr>
          <w:rFonts w:ascii="Times New Roman" w:hAnsi="Times New Roman"/>
          <w:sz w:val="28"/>
          <w:szCs w:val="28"/>
          <w:lang w:val="en-US"/>
        </w:rPr>
        <w:t xml:space="preserve"> – the weighted average value of the Company’s shares on </w:t>
      </w:r>
      <w:proofErr w:type="spellStart"/>
      <w:r>
        <w:rPr>
          <w:rFonts w:ascii="Times New Roman" w:hAnsi="Times New Roman"/>
          <w:sz w:val="28"/>
          <w:szCs w:val="28"/>
          <w:lang w:val="en-US"/>
        </w:rPr>
        <w:t>i-th</w:t>
      </w:r>
      <w:proofErr w:type="spellEnd"/>
      <w:r>
        <w:rPr>
          <w:rFonts w:ascii="Times New Roman" w:hAnsi="Times New Roman"/>
          <w:sz w:val="28"/>
          <w:szCs w:val="28"/>
          <w:lang w:val="en-US"/>
        </w:rPr>
        <w:t xml:space="preserve"> trading day of the period at RTS;</w:t>
      </w:r>
    </w:p>
    <w:p w:rsidR="00432582" w:rsidRDefault="00432582" w:rsidP="00432582">
      <w:pPr>
        <w:ind w:firstLine="540"/>
        <w:jc w:val="both"/>
        <w:rPr>
          <w:rFonts w:ascii="Times New Roman" w:hAnsi="Times New Roman"/>
          <w:sz w:val="28"/>
          <w:szCs w:val="28"/>
          <w:lang w:val="en-US"/>
        </w:rPr>
      </w:pPr>
      <w:proofErr w:type="spellStart"/>
      <w:r>
        <w:rPr>
          <w:rFonts w:ascii="Times New Roman" w:hAnsi="Times New Roman"/>
          <w:sz w:val="28"/>
          <w:szCs w:val="28"/>
          <w:lang w:val="en-US"/>
        </w:rPr>
        <w:t>d</w:t>
      </w:r>
      <w:r>
        <w:rPr>
          <w:rFonts w:ascii="Times New Roman" w:hAnsi="Times New Roman"/>
          <w:sz w:val="28"/>
          <w:szCs w:val="28"/>
          <w:vertAlign w:val="subscript"/>
          <w:lang w:val="en-US"/>
        </w:rPr>
        <w:t>iRTS</w:t>
      </w:r>
      <w:proofErr w:type="spellEnd"/>
      <w:r>
        <w:rPr>
          <w:rFonts w:ascii="Times New Roman" w:hAnsi="Times New Roman"/>
          <w:sz w:val="28"/>
          <w:szCs w:val="28"/>
          <w:lang w:val="en-US"/>
        </w:rPr>
        <w:t xml:space="preserve"> – the weight of quotation at RTS, calculated by division of the volume of trades of the Company’s shares at RTS to the total volume of trades of the Company’s shares at RTS and MICEX (in items) on </w:t>
      </w:r>
      <w:proofErr w:type="spellStart"/>
      <w:r>
        <w:rPr>
          <w:rFonts w:ascii="Times New Roman" w:hAnsi="Times New Roman"/>
          <w:sz w:val="28"/>
          <w:szCs w:val="28"/>
          <w:lang w:val="en-US"/>
        </w:rPr>
        <w:t>i-th</w:t>
      </w:r>
      <w:proofErr w:type="spellEnd"/>
      <w:r>
        <w:rPr>
          <w:rFonts w:ascii="Times New Roman" w:hAnsi="Times New Roman"/>
          <w:sz w:val="28"/>
          <w:szCs w:val="28"/>
          <w:lang w:val="en-US"/>
        </w:rPr>
        <w:t xml:space="preserve"> trading day of the period at RTS;</w:t>
      </w:r>
    </w:p>
    <w:p w:rsidR="00432582" w:rsidRDefault="00432582" w:rsidP="00432582">
      <w:pPr>
        <w:ind w:firstLine="540"/>
        <w:jc w:val="both"/>
        <w:rPr>
          <w:rFonts w:ascii="Times New Roman" w:hAnsi="Times New Roman"/>
          <w:sz w:val="28"/>
          <w:szCs w:val="28"/>
          <w:lang w:val="en-US"/>
        </w:rPr>
      </w:pPr>
      <w:r>
        <w:rPr>
          <w:rFonts w:ascii="Times New Roman" w:hAnsi="Times New Roman"/>
          <w:sz w:val="28"/>
          <w:szCs w:val="28"/>
          <w:lang w:val="en-US"/>
        </w:rPr>
        <w:lastRenderedPageBreak/>
        <w:t xml:space="preserve">n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amount of trading days from the beginning till the end of the period, the period for formulas (1) and (2):</w:t>
      </w:r>
    </w:p>
    <w:p w:rsidR="00432582" w:rsidRDefault="00432582" w:rsidP="00432582">
      <w:pPr>
        <w:numPr>
          <w:ilvl w:val="2"/>
          <w:numId w:val="2"/>
        </w:numPr>
        <w:spacing w:after="0" w:line="240" w:lineRule="auto"/>
        <w:jc w:val="both"/>
        <w:rPr>
          <w:rFonts w:ascii="Times New Roman" w:hAnsi="Times New Roman"/>
          <w:sz w:val="28"/>
          <w:szCs w:val="28"/>
          <w:lang w:val="en-US"/>
        </w:rPr>
      </w:pPr>
      <w:r>
        <w:rPr>
          <w:rFonts w:ascii="Times New Roman" w:hAnsi="Times New Roman"/>
          <w:sz w:val="28"/>
          <w:szCs w:val="28"/>
          <w:lang w:val="en-US"/>
        </w:rPr>
        <w:t>Procedure of determining periods (t) and (t-1):</w:t>
      </w:r>
    </w:p>
    <w:p w:rsidR="00432582" w:rsidRDefault="00432582" w:rsidP="00432582">
      <w:pPr>
        <w:numPr>
          <w:ilvl w:val="0"/>
          <w:numId w:val="3"/>
        </w:numPr>
        <w:spacing w:after="0" w:line="240" w:lineRule="auto"/>
        <w:jc w:val="both"/>
        <w:rPr>
          <w:rFonts w:ascii="Times New Roman" w:hAnsi="Times New Roman"/>
          <w:sz w:val="28"/>
          <w:szCs w:val="28"/>
          <w:lang w:val="en-US"/>
        </w:rPr>
      </w:pPr>
      <w:r>
        <w:rPr>
          <w:rFonts w:ascii="Times New Roman" w:hAnsi="Times New Roman"/>
          <w:sz w:val="28"/>
          <w:szCs w:val="28"/>
          <w:lang w:val="en-US"/>
        </w:rPr>
        <w:t>calculation of period (t)</w:t>
      </w:r>
      <w:r>
        <w:rPr>
          <w:rStyle w:val="a6"/>
          <w:rFonts w:ascii="Times New Roman" w:hAnsi="Times New Roman"/>
          <w:sz w:val="28"/>
          <w:szCs w:val="28"/>
        </w:rPr>
        <w:footnoteReference w:id="1"/>
      </w:r>
      <w:r>
        <w:rPr>
          <w:rFonts w:ascii="Times New Roman" w:hAnsi="Times New Roman"/>
          <w:sz w:val="28"/>
          <w:szCs w:val="28"/>
          <w:lang w:val="en-US"/>
        </w:rPr>
        <w:t xml:space="preserve"> starts from the date following the date of termination of authorities of member of the BoD and ends by the 30</w:t>
      </w:r>
      <w:r>
        <w:rPr>
          <w:rFonts w:ascii="Times New Roman" w:hAnsi="Times New Roman"/>
          <w:sz w:val="28"/>
          <w:szCs w:val="28"/>
          <w:vertAlign w:val="superscript"/>
          <w:lang w:val="en-US"/>
        </w:rPr>
        <w:t>th</w:t>
      </w:r>
      <w:r>
        <w:rPr>
          <w:rFonts w:ascii="Times New Roman" w:hAnsi="Times New Roman"/>
          <w:sz w:val="28"/>
          <w:szCs w:val="28"/>
          <w:lang w:val="en-US"/>
        </w:rPr>
        <w:t xml:space="preserve"> working day; </w:t>
      </w:r>
    </w:p>
    <w:p w:rsidR="00432582" w:rsidRDefault="00432582" w:rsidP="00432582">
      <w:pPr>
        <w:numPr>
          <w:ilvl w:val="0"/>
          <w:numId w:val="3"/>
        </w:num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period (t-1) is a period of 30 working days, which last date is the date previous to the election of the BoD member, and the first date is the last date minus 30 working dates. </w:t>
      </w:r>
    </w:p>
    <w:p w:rsidR="00432582" w:rsidRDefault="00432582" w:rsidP="00432582">
      <w:pPr>
        <w:jc w:val="both"/>
        <w:rPr>
          <w:rFonts w:ascii="Times New Roman" w:hAnsi="Times New Roman"/>
          <w:sz w:val="28"/>
          <w:szCs w:val="28"/>
          <w:lang w:val="en-US"/>
        </w:rPr>
      </w:pPr>
      <w:r>
        <w:rPr>
          <w:rFonts w:ascii="Times New Roman" w:hAnsi="Times New Roman"/>
          <w:sz w:val="28"/>
          <w:szCs w:val="28"/>
          <w:lang w:val="en-US"/>
        </w:rPr>
        <w:t>If 6 months from the moment of admission of shares to trades at RTS and/or MICEX haven’t passed by the first date of the period (t-1), then the period is taken as 30 working days, with the first date starting with the end of the 6-months period.</w:t>
      </w:r>
    </w:p>
    <w:p w:rsidR="00432582" w:rsidRDefault="00432582" w:rsidP="00432582">
      <w:pPr>
        <w:ind w:left="360" w:firstLine="540"/>
        <w:rPr>
          <w:rFonts w:ascii="Times New Roman" w:hAnsi="Times New Roman"/>
          <w:color w:val="FF0000"/>
          <w:sz w:val="24"/>
          <w:szCs w:val="24"/>
          <w:lang w:val="en-US"/>
        </w:rPr>
      </w:pPr>
    </w:p>
    <w:p w:rsidR="00432582" w:rsidRDefault="00432582" w:rsidP="00432582">
      <w:pPr>
        <w:jc w:val="both"/>
        <w:rPr>
          <w:rFonts w:ascii="Times New Roman" w:hAnsi="Times New Roman"/>
          <w:sz w:val="28"/>
          <w:szCs w:val="28"/>
          <w:lang w:val="en-US"/>
        </w:rPr>
      </w:pPr>
      <w:r>
        <w:rPr>
          <w:rFonts w:ascii="Times New Roman" w:hAnsi="Times New Roman"/>
          <w:sz w:val="28"/>
          <w:szCs w:val="28"/>
          <w:lang w:val="en-US"/>
        </w:rPr>
        <w:t>4.3.3 The calculated amount of the increase of the Company’s market value less the increase of the Company’s net assets (3) should be corrected on the growth of the equity market, characterized by the indexes of the RTS and MICEX stocks:</w:t>
      </w:r>
    </w:p>
    <w:p w:rsidR="00432582" w:rsidRDefault="00432582" w:rsidP="00432582">
      <w:pPr>
        <w:ind w:firstLine="540"/>
        <w:rPr>
          <w:rFonts w:ascii="Times New Roman" w:hAnsi="Times New Roman"/>
          <w:sz w:val="24"/>
          <w:szCs w:val="24"/>
          <w:lang w:val="en-US"/>
        </w:rPr>
      </w:pPr>
    </w:p>
    <w:p w:rsidR="00432582" w:rsidRDefault="00432582" w:rsidP="00432582">
      <w:pPr>
        <w:ind w:firstLine="540"/>
        <w:jc w:val="both"/>
        <w:rPr>
          <w:rFonts w:ascii="Times New Roman" w:hAnsi="Times New Roman"/>
          <w:sz w:val="24"/>
          <w:szCs w:val="24"/>
          <w:lang w:val="en-US"/>
        </w:rPr>
      </w:pPr>
      <w:proofErr w:type="spellStart"/>
      <w:r>
        <w:rPr>
          <w:rFonts w:ascii="Times New Roman" w:hAnsi="Times New Roman"/>
          <w:i/>
          <w:iCs/>
          <w:sz w:val="24"/>
          <w:szCs w:val="24"/>
          <w:lang w:val="en-US"/>
        </w:rPr>
        <w:t>Tmarket</w:t>
      </w:r>
      <w:proofErr w:type="spellEnd"/>
      <w:r>
        <w:rPr>
          <w:rFonts w:ascii="Times New Roman" w:hAnsi="Times New Roman"/>
          <w:i/>
          <w:iCs/>
          <w:sz w:val="24"/>
          <w:szCs w:val="24"/>
          <w:lang w:val="en-US"/>
        </w:rPr>
        <w:t xml:space="preserve"> = </w:t>
      </w:r>
      <w:r>
        <w:rPr>
          <w:rFonts w:ascii="Times New Roman" w:hAnsi="Times New Roman"/>
          <w:i/>
          <w:iCs/>
          <w:position w:val="-42"/>
          <w:sz w:val="24"/>
          <w:szCs w:val="24"/>
        </w:rPr>
        <w:object w:dxaOrig="780" w:dyaOrig="1065">
          <v:shape id="_x0000_i1026" type="#_x0000_t75" style="width:38.9pt;height:52.95pt" o:ole="">
            <v:imagedata r:id="rId10" o:title=""/>
          </v:shape>
          <o:OLEObject Type="Embed" ProgID="Equation.3" ShapeID="_x0000_i1026" DrawAspect="Content" ObjectID="_1409039879" r:id="rId11"/>
        </w:object>
      </w:r>
      <w:r>
        <w:rPr>
          <w:rFonts w:ascii="Times New Roman" w:hAnsi="Times New Roman"/>
          <w:i/>
          <w:iCs/>
          <w:sz w:val="24"/>
          <w:szCs w:val="24"/>
          <w:lang w:val="en-US"/>
        </w:rPr>
        <w:t xml:space="preserve">* </w:t>
      </w:r>
      <w:proofErr w:type="spellStart"/>
      <w:r>
        <w:rPr>
          <w:rFonts w:ascii="Times New Roman" w:hAnsi="Times New Roman"/>
          <w:i/>
          <w:iCs/>
          <w:sz w:val="24"/>
          <w:szCs w:val="24"/>
          <w:lang w:val="en-US"/>
        </w:rPr>
        <w:t>d</w:t>
      </w:r>
      <w:r>
        <w:rPr>
          <w:rFonts w:ascii="Times New Roman" w:hAnsi="Times New Roman"/>
          <w:i/>
          <w:iCs/>
          <w:sz w:val="24"/>
          <w:szCs w:val="24"/>
          <w:vertAlign w:val="subscript"/>
          <w:lang w:val="en-US"/>
        </w:rPr>
        <w:t>RTS</w:t>
      </w:r>
      <w:proofErr w:type="spellEnd"/>
      <w:r>
        <w:rPr>
          <w:rFonts w:ascii="Times New Roman" w:hAnsi="Times New Roman"/>
          <w:i/>
          <w:iCs/>
          <w:sz w:val="24"/>
          <w:szCs w:val="24"/>
          <w:vertAlign w:val="subscript"/>
          <w:lang w:val="en-US"/>
        </w:rPr>
        <w:t xml:space="preserve"> </w:t>
      </w:r>
      <w:r>
        <w:rPr>
          <w:rFonts w:ascii="Times New Roman" w:hAnsi="Times New Roman"/>
          <w:i/>
          <w:iCs/>
          <w:sz w:val="24"/>
          <w:szCs w:val="24"/>
          <w:lang w:val="en-US"/>
        </w:rPr>
        <w:t>+</w:t>
      </w:r>
      <w:r>
        <w:rPr>
          <w:rFonts w:ascii="Times New Roman" w:hAnsi="Times New Roman"/>
          <w:i/>
          <w:iCs/>
          <w:position w:val="-46"/>
          <w:sz w:val="24"/>
          <w:szCs w:val="24"/>
        </w:rPr>
        <w:object w:dxaOrig="960" w:dyaOrig="1005">
          <v:shape id="_x0000_i1027" type="#_x0000_t75" style="width:48pt;height:50.5pt" o:ole="">
            <v:imagedata r:id="rId12" o:title=""/>
          </v:shape>
          <o:OLEObject Type="Embed" ProgID="Equation.3" ShapeID="_x0000_i1027" DrawAspect="Content" ObjectID="_1409039880" r:id="rId13"/>
        </w:object>
      </w:r>
      <w:r>
        <w:rPr>
          <w:rFonts w:ascii="Times New Roman" w:hAnsi="Times New Roman"/>
          <w:i/>
          <w:iCs/>
          <w:sz w:val="24"/>
          <w:szCs w:val="24"/>
          <w:lang w:val="en-US"/>
        </w:rPr>
        <w:t xml:space="preserve">* </w:t>
      </w:r>
      <w:proofErr w:type="spellStart"/>
      <w:r>
        <w:rPr>
          <w:rFonts w:ascii="Times New Roman" w:hAnsi="Times New Roman"/>
          <w:i/>
          <w:iCs/>
          <w:sz w:val="24"/>
          <w:szCs w:val="24"/>
          <w:lang w:val="en-US"/>
        </w:rPr>
        <w:t>d</w:t>
      </w:r>
      <w:r>
        <w:rPr>
          <w:rFonts w:ascii="Times New Roman" w:hAnsi="Times New Roman"/>
          <w:i/>
          <w:iCs/>
          <w:sz w:val="24"/>
          <w:szCs w:val="24"/>
          <w:vertAlign w:val="subscript"/>
          <w:lang w:val="en-US"/>
        </w:rPr>
        <w:t>MICEX</w:t>
      </w:r>
      <w:proofErr w:type="spellEnd"/>
      <w:r>
        <w:rPr>
          <w:rFonts w:ascii="Times New Roman" w:hAnsi="Times New Roman"/>
          <w:i/>
          <w:iCs/>
          <w:sz w:val="24"/>
          <w:szCs w:val="24"/>
          <w:vertAlign w:val="subscript"/>
          <w:lang w:val="en-US"/>
        </w:rPr>
        <w:t xml:space="preserve"> (</w:t>
      </w:r>
      <w:r>
        <w:rPr>
          <w:rFonts w:ascii="Times New Roman" w:hAnsi="Times New Roman"/>
          <w:i/>
          <w:iCs/>
          <w:sz w:val="24"/>
          <w:szCs w:val="24"/>
          <w:lang w:val="en-US"/>
        </w:rPr>
        <w:t>3)</w:t>
      </w:r>
      <w:r>
        <w:rPr>
          <w:rFonts w:ascii="Times New Roman" w:hAnsi="Times New Roman"/>
          <w:sz w:val="24"/>
          <w:szCs w:val="24"/>
          <w:lang w:val="en-US"/>
        </w:rPr>
        <w:t>, where:</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position w:val="-26"/>
          <w:sz w:val="28"/>
          <w:szCs w:val="28"/>
        </w:rPr>
        <w:object w:dxaOrig="555" w:dyaOrig="555">
          <v:shape id="_x0000_i1028" type="#_x0000_t75" style="width:28.15pt;height:28.15pt" o:ole="">
            <v:imagedata r:id="rId14" o:title=""/>
          </v:shape>
          <o:OLEObject Type="Embed" ProgID="Equation.3" ShapeID="_x0000_i1028" DrawAspect="Content" ObjectID="_1409039881" r:id="rId15"/>
        </w:object>
      </w:r>
      <w:r>
        <w:rPr>
          <w:rFonts w:ascii="Times New Roman" w:hAnsi="Times New Roman"/>
          <w:color w:val="000000"/>
          <w:sz w:val="28"/>
          <w:szCs w:val="28"/>
          <w:lang w:val="en-US"/>
        </w:rPr>
        <w:t xml:space="preserve">– </w:t>
      </w:r>
      <w:proofErr w:type="gramStart"/>
      <w:r>
        <w:rPr>
          <w:rFonts w:ascii="Times New Roman" w:hAnsi="Times New Roman"/>
          <w:color w:val="000000"/>
          <w:sz w:val="28"/>
          <w:szCs w:val="28"/>
          <w:lang w:val="en-US"/>
        </w:rPr>
        <w:t>the</w:t>
      </w:r>
      <w:proofErr w:type="gramEnd"/>
      <w:r>
        <w:rPr>
          <w:rFonts w:ascii="Times New Roman" w:hAnsi="Times New Roman"/>
          <w:color w:val="000000"/>
          <w:sz w:val="28"/>
          <w:szCs w:val="28"/>
          <w:lang w:val="en-US"/>
        </w:rPr>
        <w:t xml:space="preserve"> average chronological index of RTS for the period t.</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position w:val="-26"/>
          <w:sz w:val="28"/>
          <w:szCs w:val="28"/>
        </w:rPr>
        <w:object w:dxaOrig="795" w:dyaOrig="555">
          <v:shape id="_x0000_i1029" type="#_x0000_t75" style="width:39.7pt;height:28.15pt" o:ole="">
            <v:imagedata r:id="rId16" o:title=""/>
          </v:shape>
          <o:OLEObject Type="Embed" ProgID="Equation.3" ShapeID="_x0000_i1029" DrawAspect="Content" ObjectID="_1409039882" r:id="rId17"/>
        </w:object>
      </w:r>
      <w:r>
        <w:rPr>
          <w:rFonts w:ascii="Times New Roman" w:hAnsi="Times New Roman"/>
          <w:color w:val="000000"/>
          <w:sz w:val="28"/>
          <w:szCs w:val="28"/>
          <w:lang w:val="en-US"/>
        </w:rPr>
        <w:t xml:space="preserve"> – </w:t>
      </w:r>
      <w:proofErr w:type="gramStart"/>
      <w:r>
        <w:rPr>
          <w:rFonts w:ascii="Times New Roman" w:hAnsi="Times New Roman"/>
          <w:color w:val="000000"/>
          <w:sz w:val="28"/>
          <w:szCs w:val="28"/>
          <w:lang w:val="en-US"/>
        </w:rPr>
        <w:t>the</w:t>
      </w:r>
      <w:proofErr w:type="gramEnd"/>
      <w:r>
        <w:rPr>
          <w:rFonts w:ascii="Times New Roman" w:hAnsi="Times New Roman"/>
          <w:color w:val="000000"/>
          <w:sz w:val="28"/>
          <w:szCs w:val="28"/>
          <w:lang w:val="en-US"/>
        </w:rPr>
        <w:t xml:space="preserve"> average chronological index of RTS for the period t-1.</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D</w:t>
      </w:r>
      <w:r>
        <w:rPr>
          <w:rFonts w:ascii="Times New Roman" w:hAnsi="Times New Roman"/>
          <w:color w:val="000000"/>
          <w:sz w:val="28"/>
          <w:szCs w:val="28"/>
          <w:vertAlign w:val="subscript"/>
          <w:lang w:val="en-US"/>
        </w:rPr>
        <w:t>RTS</w:t>
      </w:r>
      <w:r>
        <w:rPr>
          <w:rFonts w:ascii="Times New Roman" w:hAnsi="Times New Roman"/>
          <w:color w:val="000000"/>
          <w:sz w:val="28"/>
          <w:szCs w:val="28"/>
          <w:lang w:val="en-US"/>
        </w:rPr>
        <w:t xml:space="preserve"> – the weight of quotation at RTS, calculated by division of the volume of trades of the Company’s shares at RTS to the total volume of trades of the Company’s shares at RTS and MICEX (in items) for the periods t and (t-1);</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position w:val="-26"/>
          <w:sz w:val="28"/>
          <w:szCs w:val="28"/>
        </w:rPr>
        <w:object w:dxaOrig="765" w:dyaOrig="555">
          <v:shape id="_x0000_i1030" type="#_x0000_t75" style="width:38.05pt;height:28.15pt" o:ole="">
            <v:imagedata r:id="rId18" o:title=""/>
          </v:shape>
          <o:OLEObject Type="Embed" ProgID="Equation.3" ShapeID="_x0000_i1030" DrawAspect="Content" ObjectID="_1409039883" r:id="rId19"/>
        </w:object>
      </w:r>
      <w:r>
        <w:rPr>
          <w:rFonts w:ascii="Times New Roman" w:hAnsi="Times New Roman"/>
          <w:color w:val="000000"/>
          <w:sz w:val="28"/>
          <w:szCs w:val="28"/>
          <w:lang w:val="en-US"/>
        </w:rPr>
        <w:t xml:space="preserve">– </w:t>
      </w:r>
      <w:proofErr w:type="gramStart"/>
      <w:r>
        <w:rPr>
          <w:rFonts w:ascii="Times New Roman" w:hAnsi="Times New Roman"/>
          <w:color w:val="000000"/>
          <w:sz w:val="28"/>
          <w:szCs w:val="28"/>
          <w:lang w:val="en-US"/>
        </w:rPr>
        <w:t>the</w:t>
      </w:r>
      <w:proofErr w:type="gramEnd"/>
      <w:r>
        <w:rPr>
          <w:rFonts w:ascii="Times New Roman" w:hAnsi="Times New Roman"/>
          <w:color w:val="000000"/>
          <w:sz w:val="28"/>
          <w:szCs w:val="28"/>
          <w:lang w:val="en-US"/>
        </w:rPr>
        <w:t xml:space="preserve"> average chronological index of MICEX for the period t.</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position w:val="-26"/>
          <w:sz w:val="28"/>
          <w:szCs w:val="28"/>
        </w:rPr>
        <w:object w:dxaOrig="1005" w:dyaOrig="555">
          <v:shape id="_x0000_i1031" type="#_x0000_t75" style="width:50.5pt;height:28.15pt" o:ole="">
            <v:imagedata r:id="rId20" o:title=""/>
          </v:shape>
          <o:OLEObject Type="Embed" ProgID="Equation.3" ShapeID="_x0000_i1031" DrawAspect="Content" ObjectID="_1409039884" r:id="rId21"/>
        </w:object>
      </w:r>
      <w:r>
        <w:rPr>
          <w:rFonts w:ascii="Times New Roman" w:hAnsi="Times New Roman"/>
          <w:color w:val="000000"/>
          <w:sz w:val="28"/>
          <w:szCs w:val="28"/>
          <w:lang w:val="en-US"/>
        </w:rPr>
        <w:t xml:space="preserve"> – </w:t>
      </w:r>
      <w:proofErr w:type="gramStart"/>
      <w:r>
        <w:rPr>
          <w:rFonts w:ascii="Times New Roman" w:hAnsi="Times New Roman"/>
          <w:color w:val="000000"/>
          <w:sz w:val="28"/>
          <w:szCs w:val="28"/>
          <w:lang w:val="en-US"/>
        </w:rPr>
        <w:t>the</w:t>
      </w:r>
      <w:proofErr w:type="gramEnd"/>
      <w:r>
        <w:rPr>
          <w:rFonts w:ascii="Times New Roman" w:hAnsi="Times New Roman"/>
          <w:color w:val="000000"/>
          <w:sz w:val="28"/>
          <w:szCs w:val="28"/>
          <w:lang w:val="en-US"/>
        </w:rPr>
        <w:t xml:space="preserve"> average chronological index of MICEX for the period t-1.</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D</w:t>
      </w:r>
      <w:r>
        <w:rPr>
          <w:rFonts w:ascii="Times New Roman" w:hAnsi="Times New Roman"/>
          <w:color w:val="000000"/>
          <w:sz w:val="28"/>
          <w:szCs w:val="28"/>
          <w:vertAlign w:val="subscript"/>
          <w:lang w:val="en-US"/>
        </w:rPr>
        <w:t>MICEX</w:t>
      </w:r>
      <w:r>
        <w:rPr>
          <w:rFonts w:ascii="Times New Roman" w:hAnsi="Times New Roman"/>
          <w:color w:val="000000"/>
          <w:sz w:val="28"/>
          <w:szCs w:val="28"/>
          <w:lang w:val="en-US"/>
        </w:rPr>
        <w:t xml:space="preserve"> – the weight of quotation at MICEX, calculated by division of the volume of trades of the Company’s shares at MICEX to the total volume of </w:t>
      </w:r>
      <w:r>
        <w:rPr>
          <w:rFonts w:ascii="Times New Roman" w:hAnsi="Times New Roman"/>
          <w:color w:val="000000"/>
          <w:sz w:val="28"/>
          <w:szCs w:val="28"/>
          <w:lang w:val="en-US"/>
        </w:rPr>
        <w:lastRenderedPageBreak/>
        <w:t>trades of the Company’s shares at RTS and MICEX (in items)for the periods t and (t-1);</w:t>
      </w:r>
    </w:p>
    <w:p w:rsidR="00432582" w:rsidRDefault="00432582" w:rsidP="00432582">
      <w:pPr>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Formula for average chronological index:</w:t>
      </w:r>
    </w:p>
    <w:p w:rsidR="00432582" w:rsidRDefault="00432582" w:rsidP="00432582">
      <w:pPr>
        <w:jc w:val="both"/>
        <w:rPr>
          <w:rFonts w:ascii="Tahoma" w:hAnsi="Tahoma" w:cs="Tahoma"/>
          <w:sz w:val="16"/>
          <w:szCs w:val="16"/>
          <w:lang w:val="en-US"/>
        </w:rPr>
      </w:pPr>
    </w:p>
    <w:tbl>
      <w:tblPr>
        <w:tblpPr w:leftFromText="180" w:rightFromText="180" w:vertAnchor="text" w:tblpX="643" w:tblpY="1"/>
        <w:tblOverlap w:val="never"/>
        <w:tblW w:w="0" w:type="auto"/>
        <w:tblLook w:val="01E0" w:firstRow="1" w:lastRow="1" w:firstColumn="1" w:lastColumn="1" w:noHBand="0" w:noVBand="0"/>
      </w:tblPr>
      <w:tblGrid>
        <w:gridCol w:w="675"/>
        <w:gridCol w:w="709"/>
        <w:gridCol w:w="1559"/>
        <w:gridCol w:w="425"/>
      </w:tblGrid>
      <w:tr w:rsidR="00432582" w:rsidTr="00432582">
        <w:tc>
          <w:tcPr>
            <w:tcW w:w="675" w:type="dxa"/>
            <w:vAlign w:val="center"/>
          </w:tcPr>
          <w:p w:rsidR="00432582" w:rsidRDefault="00432582">
            <w:pPr>
              <w:jc w:val="center"/>
              <w:rPr>
                <w:i/>
                <w:lang w:val="en-US"/>
              </w:rPr>
            </w:pPr>
          </w:p>
        </w:tc>
        <w:tc>
          <w:tcPr>
            <w:tcW w:w="709" w:type="dxa"/>
            <w:tcBorders>
              <w:top w:val="nil"/>
              <w:left w:val="nil"/>
              <w:bottom w:val="single" w:sz="4" w:space="0" w:color="auto"/>
              <w:right w:val="nil"/>
            </w:tcBorders>
            <w:vAlign w:val="center"/>
            <w:hideMark/>
          </w:tcPr>
          <w:p w:rsidR="00432582" w:rsidRDefault="00432582">
            <w:pPr>
              <w:jc w:val="center"/>
              <w:rPr>
                <w:i/>
                <w:lang w:val="en-US"/>
              </w:rPr>
            </w:pPr>
            <w:r>
              <w:rPr>
                <w:i/>
                <w:lang w:val="en-US"/>
              </w:rPr>
              <w:t>I</w:t>
            </w:r>
            <w:r>
              <w:rPr>
                <w:i/>
                <w:vertAlign w:val="subscript"/>
                <w:lang w:val="en-US"/>
              </w:rPr>
              <w:t>1</w:t>
            </w:r>
          </w:p>
        </w:tc>
        <w:tc>
          <w:tcPr>
            <w:tcW w:w="1559" w:type="dxa"/>
            <w:vMerge w:val="restart"/>
            <w:tcBorders>
              <w:top w:val="nil"/>
              <w:left w:val="nil"/>
              <w:bottom w:val="single" w:sz="4" w:space="0" w:color="auto"/>
              <w:right w:val="nil"/>
            </w:tcBorders>
            <w:vAlign w:val="center"/>
            <w:hideMark/>
          </w:tcPr>
          <w:p w:rsidR="00432582" w:rsidRDefault="00432582">
            <w:pPr>
              <w:jc w:val="center"/>
              <w:rPr>
                <w:i/>
                <w:lang w:val="en-US"/>
              </w:rPr>
            </w:pPr>
            <w:r>
              <w:rPr>
                <w:i/>
                <w:lang w:val="en-US"/>
              </w:rPr>
              <w:t>+ I</w:t>
            </w:r>
            <w:r>
              <w:rPr>
                <w:i/>
                <w:vertAlign w:val="subscript"/>
                <w:lang w:val="en-US"/>
              </w:rPr>
              <w:t xml:space="preserve">2 </w:t>
            </w:r>
            <w:r>
              <w:rPr>
                <w:i/>
                <w:lang w:val="en-US"/>
              </w:rPr>
              <w:t>+ I</w:t>
            </w:r>
            <w:r>
              <w:rPr>
                <w:i/>
                <w:vertAlign w:val="subscript"/>
                <w:lang w:val="en-US"/>
              </w:rPr>
              <w:t>3</w:t>
            </w:r>
            <w:r>
              <w:rPr>
                <w:i/>
                <w:lang w:val="en-US"/>
              </w:rPr>
              <w:t xml:space="preserve"> … +</w:t>
            </w:r>
          </w:p>
        </w:tc>
        <w:tc>
          <w:tcPr>
            <w:tcW w:w="425" w:type="dxa"/>
            <w:tcBorders>
              <w:top w:val="nil"/>
              <w:left w:val="nil"/>
              <w:bottom w:val="single" w:sz="4" w:space="0" w:color="auto"/>
              <w:right w:val="nil"/>
            </w:tcBorders>
            <w:vAlign w:val="center"/>
            <w:hideMark/>
          </w:tcPr>
          <w:p w:rsidR="00432582" w:rsidRDefault="00432582">
            <w:pPr>
              <w:jc w:val="center"/>
              <w:rPr>
                <w:i/>
              </w:rPr>
            </w:pPr>
            <w:r>
              <w:rPr>
                <w:i/>
                <w:lang w:val="en-US"/>
              </w:rPr>
              <w:t>I</w:t>
            </w:r>
            <w:r>
              <w:rPr>
                <w:i/>
                <w:vertAlign w:val="subscript"/>
                <w:lang w:val="en-US"/>
              </w:rPr>
              <w:t>n</w:t>
            </w:r>
          </w:p>
        </w:tc>
      </w:tr>
      <w:tr w:rsidR="00432582" w:rsidTr="00432582">
        <w:trPr>
          <w:trHeight w:val="157"/>
        </w:trPr>
        <w:tc>
          <w:tcPr>
            <w:tcW w:w="675" w:type="dxa"/>
            <w:vMerge w:val="restart"/>
            <w:vAlign w:val="center"/>
            <w:hideMark/>
          </w:tcPr>
          <w:p w:rsidR="00432582" w:rsidRDefault="00432582">
            <w:pPr>
              <w:jc w:val="center"/>
              <w:rPr>
                <w:i/>
                <w:lang w:val="en-US"/>
              </w:rPr>
            </w:pPr>
            <w:r>
              <w:rPr>
                <w:i/>
                <w:lang w:val="en-US"/>
              </w:rPr>
              <w:t>I =</w:t>
            </w:r>
          </w:p>
        </w:tc>
        <w:tc>
          <w:tcPr>
            <w:tcW w:w="709" w:type="dxa"/>
            <w:tcBorders>
              <w:top w:val="single" w:sz="4" w:space="0" w:color="auto"/>
              <w:left w:val="nil"/>
              <w:bottom w:val="single" w:sz="4" w:space="0" w:color="auto"/>
              <w:right w:val="nil"/>
            </w:tcBorders>
            <w:vAlign w:val="center"/>
            <w:hideMark/>
          </w:tcPr>
          <w:p w:rsidR="00432582" w:rsidRDefault="00432582">
            <w:pPr>
              <w:jc w:val="center"/>
              <w:rPr>
                <w:i/>
                <w:lang w:val="en-US"/>
              </w:rPr>
            </w:pPr>
            <w:r>
              <w:rPr>
                <w:i/>
                <w:lang w:val="en-US"/>
              </w:rPr>
              <w:t>2</w:t>
            </w:r>
          </w:p>
        </w:tc>
        <w:tc>
          <w:tcPr>
            <w:tcW w:w="0" w:type="auto"/>
            <w:vMerge/>
            <w:tcBorders>
              <w:top w:val="nil"/>
              <w:left w:val="nil"/>
              <w:bottom w:val="single" w:sz="4" w:space="0" w:color="auto"/>
              <w:right w:val="nil"/>
            </w:tcBorders>
            <w:vAlign w:val="center"/>
            <w:hideMark/>
          </w:tcPr>
          <w:p w:rsidR="00432582" w:rsidRDefault="00432582">
            <w:pPr>
              <w:spacing w:after="0" w:line="240" w:lineRule="auto"/>
              <w:rPr>
                <w:i/>
                <w:lang w:val="en-US"/>
              </w:rPr>
            </w:pPr>
          </w:p>
        </w:tc>
        <w:tc>
          <w:tcPr>
            <w:tcW w:w="425" w:type="dxa"/>
            <w:tcBorders>
              <w:top w:val="single" w:sz="4" w:space="0" w:color="auto"/>
              <w:left w:val="nil"/>
              <w:bottom w:val="single" w:sz="4" w:space="0" w:color="auto"/>
              <w:right w:val="nil"/>
            </w:tcBorders>
            <w:vAlign w:val="center"/>
            <w:hideMark/>
          </w:tcPr>
          <w:p w:rsidR="00432582" w:rsidRDefault="00432582">
            <w:pPr>
              <w:jc w:val="center"/>
              <w:rPr>
                <w:i/>
                <w:lang w:val="en-US"/>
              </w:rPr>
            </w:pPr>
            <w:r>
              <w:rPr>
                <w:i/>
                <w:lang w:val="en-US"/>
              </w:rPr>
              <w:t>2</w:t>
            </w:r>
          </w:p>
        </w:tc>
      </w:tr>
      <w:tr w:rsidR="00432582" w:rsidTr="00432582">
        <w:tc>
          <w:tcPr>
            <w:tcW w:w="0" w:type="auto"/>
            <w:vMerge/>
            <w:vAlign w:val="center"/>
            <w:hideMark/>
          </w:tcPr>
          <w:p w:rsidR="00432582" w:rsidRDefault="00432582">
            <w:pPr>
              <w:spacing w:after="0" w:line="240" w:lineRule="auto"/>
              <w:rPr>
                <w:i/>
                <w:lang w:val="en-US"/>
              </w:rPr>
            </w:pPr>
          </w:p>
        </w:tc>
        <w:tc>
          <w:tcPr>
            <w:tcW w:w="709" w:type="dxa"/>
            <w:tcBorders>
              <w:top w:val="single" w:sz="4" w:space="0" w:color="auto"/>
              <w:left w:val="nil"/>
              <w:bottom w:val="nil"/>
              <w:right w:val="nil"/>
            </w:tcBorders>
            <w:vAlign w:val="center"/>
          </w:tcPr>
          <w:p w:rsidR="00432582" w:rsidRDefault="00432582">
            <w:pPr>
              <w:jc w:val="center"/>
              <w:rPr>
                <w:i/>
              </w:rPr>
            </w:pPr>
          </w:p>
        </w:tc>
        <w:tc>
          <w:tcPr>
            <w:tcW w:w="1559" w:type="dxa"/>
            <w:tcBorders>
              <w:top w:val="single" w:sz="4" w:space="0" w:color="auto"/>
              <w:left w:val="nil"/>
              <w:bottom w:val="nil"/>
              <w:right w:val="nil"/>
            </w:tcBorders>
            <w:vAlign w:val="center"/>
            <w:hideMark/>
          </w:tcPr>
          <w:p w:rsidR="00432582" w:rsidRDefault="00432582">
            <w:pPr>
              <w:jc w:val="center"/>
              <w:rPr>
                <w:i/>
                <w:lang w:val="en-US"/>
              </w:rPr>
            </w:pPr>
            <w:r>
              <w:rPr>
                <w:i/>
                <w:lang w:val="en-US"/>
              </w:rPr>
              <w:t xml:space="preserve">n - </w:t>
            </w:r>
            <w:r>
              <w:rPr>
                <w:rFonts w:ascii="Tahoma" w:hAnsi="Tahoma" w:cs="Tahoma"/>
                <w:i/>
                <w:lang w:val="en-US"/>
              </w:rPr>
              <w:t>1</w:t>
            </w:r>
          </w:p>
        </w:tc>
        <w:tc>
          <w:tcPr>
            <w:tcW w:w="425" w:type="dxa"/>
            <w:tcBorders>
              <w:top w:val="single" w:sz="4" w:space="0" w:color="auto"/>
              <w:left w:val="nil"/>
              <w:bottom w:val="nil"/>
              <w:right w:val="nil"/>
            </w:tcBorders>
            <w:vAlign w:val="center"/>
          </w:tcPr>
          <w:p w:rsidR="00432582" w:rsidRDefault="00432582">
            <w:pPr>
              <w:jc w:val="center"/>
              <w:rPr>
                <w:i/>
              </w:rPr>
            </w:pPr>
          </w:p>
        </w:tc>
      </w:tr>
    </w:tbl>
    <w:p w:rsidR="00432582" w:rsidRDefault="00432582" w:rsidP="00432582">
      <w:pPr>
        <w:jc w:val="both"/>
        <w:rPr>
          <w:rFonts w:ascii="Tahoma" w:hAnsi="Tahoma" w:cs="Tahoma"/>
          <w:sz w:val="16"/>
          <w:szCs w:val="16"/>
        </w:rPr>
      </w:pPr>
      <w:r>
        <w:rPr>
          <w:rFonts w:ascii="Tahoma" w:hAnsi="Tahoma" w:cs="Tahoma"/>
        </w:rPr>
        <w:t xml:space="preserve"> </w:t>
      </w:r>
    </w:p>
    <w:p w:rsidR="00432582" w:rsidRDefault="00432582" w:rsidP="00432582">
      <w:pPr>
        <w:jc w:val="both"/>
        <w:rPr>
          <w:rFonts w:ascii="Tahoma" w:hAnsi="Tahoma" w:cs="Tahoma"/>
          <w:sz w:val="16"/>
          <w:szCs w:val="16"/>
        </w:rPr>
      </w:pPr>
    </w:p>
    <w:p w:rsidR="00432582" w:rsidRDefault="00432582" w:rsidP="00432582">
      <w:pPr>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rPr>
        <w:t>(6),</w:t>
      </w:r>
    </w:p>
    <w:p w:rsidR="00432582" w:rsidRDefault="00432582" w:rsidP="00432582">
      <w:pPr>
        <w:jc w:val="both"/>
        <w:rPr>
          <w:rFonts w:ascii="Tahoma" w:hAnsi="Tahoma" w:cs="Tahoma"/>
          <w:sz w:val="16"/>
          <w:szCs w:val="16"/>
        </w:rPr>
      </w:pPr>
    </w:p>
    <w:p w:rsidR="00432582" w:rsidRDefault="00432582" w:rsidP="00432582">
      <w:pPr>
        <w:jc w:val="both"/>
        <w:rPr>
          <w:rFonts w:ascii="Times New Roman" w:hAnsi="Times New Roman"/>
          <w:sz w:val="28"/>
          <w:szCs w:val="28"/>
        </w:rPr>
      </w:pPr>
    </w:p>
    <w:p w:rsidR="00432582" w:rsidRDefault="00432582" w:rsidP="00432582">
      <w:pPr>
        <w:pStyle w:val="3"/>
        <w:ind w:left="709"/>
        <w:rPr>
          <w:rFonts w:ascii="Times New Roman" w:hAnsi="Times New Roman" w:cs="Times New Roman"/>
          <w:sz w:val="28"/>
          <w:szCs w:val="28"/>
        </w:rPr>
      </w:pPr>
      <w:proofErr w:type="gramStart"/>
      <w:r>
        <w:rPr>
          <w:rFonts w:ascii="Times New Roman" w:hAnsi="Times New Roman" w:cs="Times New Roman"/>
          <w:sz w:val="28"/>
          <w:szCs w:val="28"/>
          <w:lang w:val="en-US"/>
        </w:rPr>
        <w:t>where</w:t>
      </w:r>
      <w:proofErr w:type="gramEnd"/>
      <w:r>
        <w:rPr>
          <w:rFonts w:ascii="Times New Roman" w:hAnsi="Times New Roman" w:cs="Times New Roman"/>
          <w:sz w:val="28"/>
          <w:szCs w:val="28"/>
        </w:rPr>
        <w:t>:</w:t>
      </w:r>
    </w:p>
    <w:p w:rsidR="00432582" w:rsidRDefault="00432582" w:rsidP="00432582">
      <w:pPr>
        <w:ind w:left="709"/>
        <w:jc w:val="both"/>
        <w:rPr>
          <w:rFonts w:ascii="Times New Roman" w:hAnsi="Times New Roman"/>
          <w:sz w:val="28"/>
          <w:szCs w:val="28"/>
          <w:lang w:val="en-US"/>
        </w:rPr>
      </w:pPr>
      <w:r>
        <w:rPr>
          <w:rFonts w:ascii="Times New Roman" w:hAnsi="Times New Roman"/>
          <w:i/>
          <w:sz w:val="28"/>
          <w:szCs w:val="28"/>
          <w:lang w:val="en-US"/>
        </w:rPr>
        <w:t>I</w:t>
      </w:r>
      <w:r>
        <w:rPr>
          <w:rFonts w:ascii="Times New Roman" w:hAnsi="Times New Roman"/>
          <w:i/>
          <w:sz w:val="28"/>
          <w:szCs w:val="28"/>
          <w:vertAlign w:val="subscript"/>
          <w:lang w:val="en-US"/>
        </w:rPr>
        <w:t xml:space="preserve">1 </w:t>
      </w:r>
      <w:r>
        <w:rPr>
          <w:rFonts w:ascii="Times New Roman" w:hAnsi="Times New Roman"/>
          <w:sz w:val="28"/>
          <w:szCs w:val="28"/>
          <w:lang w:val="en-US"/>
        </w:rPr>
        <w:t>– the index for the 1</w:t>
      </w:r>
      <w:r>
        <w:rPr>
          <w:rFonts w:ascii="Times New Roman" w:hAnsi="Times New Roman"/>
          <w:sz w:val="28"/>
          <w:szCs w:val="28"/>
          <w:vertAlign w:val="superscript"/>
          <w:lang w:val="en-US"/>
        </w:rPr>
        <w:t>st</w:t>
      </w:r>
      <w:r>
        <w:rPr>
          <w:rFonts w:ascii="Times New Roman" w:hAnsi="Times New Roman"/>
          <w:sz w:val="28"/>
          <w:szCs w:val="28"/>
          <w:lang w:val="en-US"/>
        </w:rPr>
        <w:t xml:space="preserve"> trading day of the particular period;</w:t>
      </w:r>
    </w:p>
    <w:p w:rsidR="00432582" w:rsidRDefault="00432582" w:rsidP="00432582">
      <w:pPr>
        <w:ind w:left="709"/>
        <w:jc w:val="both"/>
        <w:rPr>
          <w:rFonts w:ascii="Times New Roman" w:hAnsi="Times New Roman"/>
          <w:sz w:val="28"/>
          <w:szCs w:val="28"/>
          <w:lang w:val="en-US"/>
        </w:rPr>
      </w:pPr>
      <w:r>
        <w:rPr>
          <w:rFonts w:ascii="Times New Roman" w:hAnsi="Times New Roman"/>
          <w:i/>
          <w:sz w:val="28"/>
          <w:szCs w:val="28"/>
          <w:lang w:val="en-US"/>
        </w:rPr>
        <w:t>I</w:t>
      </w:r>
      <w:r>
        <w:rPr>
          <w:rFonts w:ascii="Times New Roman" w:hAnsi="Times New Roman"/>
          <w:i/>
          <w:sz w:val="28"/>
          <w:szCs w:val="28"/>
          <w:vertAlign w:val="subscript"/>
          <w:lang w:val="en-US"/>
        </w:rPr>
        <w:t xml:space="preserve">n </w:t>
      </w:r>
      <w:r>
        <w:rPr>
          <w:rFonts w:ascii="Times New Roman" w:hAnsi="Times New Roman"/>
          <w:sz w:val="28"/>
          <w:szCs w:val="28"/>
          <w:lang w:val="en-US"/>
        </w:rPr>
        <w:t xml:space="preserve">– the index for the </w:t>
      </w:r>
      <w:proofErr w:type="gramStart"/>
      <w:r>
        <w:rPr>
          <w:rFonts w:ascii="Times New Roman" w:hAnsi="Times New Roman"/>
          <w:sz w:val="28"/>
          <w:szCs w:val="28"/>
          <w:lang w:val="en-US"/>
        </w:rPr>
        <w:t>last  trading</w:t>
      </w:r>
      <w:proofErr w:type="gramEnd"/>
      <w:r>
        <w:rPr>
          <w:rFonts w:ascii="Times New Roman" w:hAnsi="Times New Roman"/>
          <w:sz w:val="28"/>
          <w:szCs w:val="28"/>
          <w:lang w:val="en-US"/>
        </w:rPr>
        <w:t xml:space="preserve"> day of the particular period;</w:t>
      </w:r>
    </w:p>
    <w:p w:rsidR="00432582" w:rsidRPr="00432582" w:rsidRDefault="00432582" w:rsidP="00432582">
      <w:pPr>
        <w:ind w:left="709"/>
        <w:jc w:val="both"/>
        <w:rPr>
          <w:rFonts w:ascii="Times New Roman" w:hAnsi="Times New Roman"/>
          <w:sz w:val="28"/>
          <w:szCs w:val="28"/>
          <w:lang w:val="en-US"/>
        </w:rPr>
      </w:pPr>
      <w:r>
        <w:rPr>
          <w:rFonts w:ascii="Times New Roman" w:hAnsi="Times New Roman"/>
          <w:i/>
          <w:sz w:val="28"/>
          <w:szCs w:val="28"/>
          <w:lang w:val="en-US"/>
        </w:rPr>
        <w:t xml:space="preserve">n </w:t>
      </w:r>
      <w:r w:rsidRPr="00432582">
        <w:rPr>
          <w:rFonts w:ascii="Times New Roman" w:hAnsi="Times New Roman"/>
          <w:sz w:val="28"/>
          <w:szCs w:val="28"/>
          <w:lang w:val="en-US"/>
        </w:rPr>
        <w:t xml:space="preserve">– </w:t>
      </w:r>
      <w:proofErr w:type="gramStart"/>
      <w:r>
        <w:rPr>
          <w:rFonts w:ascii="Times New Roman" w:hAnsi="Times New Roman"/>
          <w:sz w:val="28"/>
          <w:szCs w:val="28"/>
          <w:lang w:val="en-US"/>
        </w:rPr>
        <w:t>amount</w:t>
      </w:r>
      <w:proofErr w:type="gramEnd"/>
      <w:r>
        <w:rPr>
          <w:rFonts w:ascii="Times New Roman" w:hAnsi="Times New Roman"/>
          <w:sz w:val="28"/>
          <w:szCs w:val="28"/>
          <w:lang w:val="en-US"/>
        </w:rPr>
        <w:t xml:space="preserve"> of trading days</w:t>
      </w:r>
    </w:p>
    <w:p w:rsidR="00432582" w:rsidRPr="00432582" w:rsidRDefault="00432582" w:rsidP="00432582">
      <w:pPr>
        <w:ind w:left="360" w:firstLine="540"/>
        <w:rPr>
          <w:rFonts w:ascii="Times New Roman" w:hAnsi="Times New Roman"/>
          <w:color w:val="FF0000"/>
          <w:sz w:val="24"/>
          <w:szCs w:val="24"/>
          <w:lang w:val="en-US"/>
        </w:rPr>
      </w:pPr>
    </w:p>
    <w:p w:rsidR="00432582" w:rsidRDefault="00432582" w:rsidP="00432582">
      <w:pPr>
        <w:ind w:left="360"/>
        <w:jc w:val="both"/>
        <w:rPr>
          <w:rFonts w:ascii="Times New Roman" w:hAnsi="Times New Roman"/>
          <w:sz w:val="28"/>
          <w:szCs w:val="28"/>
          <w:lang w:val="en-US"/>
        </w:rPr>
      </w:pPr>
      <w:r>
        <w:rPr>
          <w:rFonts w:ascii="Times New Roman" w:hAnsi="Times New Roman"/>
          <w:sz w:val="28"/>
          <w:szCs w:val="28"/>
          <w:lang w:val="en-US"/>
        </w:rPr>
        <w:t>4.3.4. The final formula for calculating the base for determination of remuneration of a member of the Board of Directors is as follows:</w:t>
      </w:r>
    </w:p>
    <w:p w:rsidR="00432582" w:rsidRDefault="00432582" w:rsidP="00432582">
      <w:pPr>
        <w:ind w:left="360" w:firstLine="540"/>
        <w:rPr>
          <w:rFonts w:ascii="Times New Roman" w:hAnsi="Times New Roman"/>
          <w:sz w:val="24"/>
          <w:szCs w:val="24"/>
          <w:lang w:val="en-US"/>
        </w:rPr>
      </w:pPr>
    </w:p>
    <w:p w:rsidR="00432582" w:rsidRDefault="00432582" w:rsidP="00432582">
      <w:pPr>
        <w:pStyle w:val="3"/>
        <w:ind w:firstLine="540"/>
        <w:rPr>
          <w:rFonts w:ascii="Times New Roman" w:hAnsi="Times New Roman" w:cs="Times New Roman"/>
          <w:sz w:val="24"/>
          <w:szCs w:val="24"/>
          <w:lang w:val="en-US"/>
        </w:rPr>
      </w:pPr>
      <w:r>
        <w:rPr>
          <w:rFonts w:ascii="Times New Roman" w:hAnsi="Times New Roman" w:cs="Times New Roman"/>
          <w:position w:val="-30"/>
          <w:sz w:val="24"/>
          <w:szCs w:val="24"/>
        </w:rPr>
        <w:object w:dxaOrig="5940" w:dyaOrig="705">
          <v:shape id="_x0000_i1032" type="#_x0000_t75" style="width:297.1pt;height:35.6pt" o:ole="">
            <v:imagedata r:id="rId22" o:title=""/>
          </v:shape>
          <o:OLEObject Type="Embed" ProgID="Equation.3" ShapeID="_x0000_i1032" DrawAspect="Content" ObjectID="_1409039885" r:id="rId23"/>
        </w:object>
      </w:r>
      <w:r>
        <w:rPr>
          <w:rFonts w:ascii="Times New Roman" w:hAnsi="Times New Roman" w:cs="Times New Roman"/>
          <w:sz w:val="24"/>
          <w:szCs w:val="24"/>
          <w:lang w:val="en-US"/>
        </w:rPr>
        <w:t xml:space="preserve"> (4), where:</w:t>
      </w:r>
    </w:p>
    <w:p w:rsidR="00432582" w:rsidRDefault="00432582" w:rsidP="00432582">
      <w:pPr>
        <w:ind w:left="360" w:firstLine="540"/>
        <w:rPr>
          <w:rFonts w:ascii="Times New Roman" w:hAnsi="Times New Roman"/>
          <w:sz w:val="28"/>
          <w:szCs w:val="28"/>
          <w:lang w:val="en-US"/>
        </w:rPr>
      </w:pPr>
      <w:proofErr w:type="spellStart"/>
      <w:proofErr w:type="gramStart"/>
      <w:r>
        <w:rPr>
          <w:rFonts w:ascii="Times New Roman" w:hAnsi="Times New Roman"/>
          <w:sz w:val="28"/>
          <w:szCs w:val="28"/>
          <w:lang w:val="en-US"/>
        </w:rPr>
        <w:t>d</w:t>
      </w:r>
      <w:r>
        <w:rPr>
          <w:rFonts w:ascii="Times New Roman" w:hAnsi="Times New Roman"/>
          <w:sz w:val="28"/>
          <w:szCs w:val="28"/>
          <w:vertAlign w:val="subscript"/>
          <w:lang w:val="en-US"/>
        </w:rPr>
        <w:t>comp</w:t>
      </w:r>
      <w:proofErr w:type="spellEnd"/>
      <w:proofErr w:type="gramEnd"/>
      <w:r>
        <w:rPr>
          <w:rFonts w:ascii="Times New Roman" w:hAnsi="Times New Roman"/>
          <w:sz w:val="28"/>
          <w:szCs w:val="28"/>
          <w:vertAlign w:val="subscript"/>
          <w:lang w:val="en-US"/>
        </w:rPr>
        <w:t>.</w:t>
      </w:r>
      <w:r>
        <w:rPr>
          <w:rFonts w:ascii="Times New Roman" w:hAnsi="Times New Roman"/>
          <w:sz w:val="28"/>
          <w:szCs w:val="28"/>
          <w:lang w:val="en-US"/>
        </w:rPr>
        <w:t xml:space="preserve"> –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share of the company under evaluation in the rate of growth of the equity market, which is calculated as follows:</w:t>
      </w:r>
    </w:p>
    <w:p w:rsidR="00432582" w:rsidRDefault="00432582" w:rsidP="00432582">
      <w:pPr>
        <w:ind w:left="360" w:firstLine="540"/>
        <w:rPr>
          <w:rFonts w:ascii="Times New Roman" w:hAnsi="Times New Roman"/>
          <w:sz w:val="28"/>
          <w:szCs w:val="28"/>
          <w:lang w:val="en-US"/>
        </w:rPr>
      </w:pPr>
    </w:p>
    <w:p w:rsidR="00432582" w:rsidRDefault="00432582" w:rsidP="00432582">
      <w:pPr>
        <w:pStyle w:val="3"/>
        <w:ind w:firstLine="540"/>
        <w:rPr>
          <w:rFonts w:ascii="Times New Roman" w:hAnsi="Times New Roman" w:cs="Times New Roman"/>
          <w:sz w:val="24"/>
          <w:szCs w:val="24"/>
          <w:lang w:val="en-US"/>
        </w:rPr>
      </w:pPr>
      <w:r>
        <w:rPr>
          <w:rFonts w:ascii="Times New Roman" w:hAnsi="Times New Roman" w:cs="Times New Roman"/>
          <w:position w:val="-30"/>
          <w:sz w:val="24"/>
          <w:szCs w:val="24"/>
        </w:rPr>
        <w:object w:dxaOrig="1875" w:dyaOrig="720">
          <v:shape id="_x0000_i1033" type="#_x0000_t75" style="width:93.5pt;height:36.4pt" o:ole="">
            <v:imagedata r:id="rId24" o:title=""/>
          </v:shape>
          <o:OLEObject Type="Embed" ProgID="Equation.3" ShapeID="_x0000_i1033" DrawAspect="Content" ObjectID="_1409039886" r:id="rId25"/>
        </w:object>
      </w:r>
      <w:r>
        <w:rPr>
          <w:rFonts w:ascii="Times New Roman" w:hAnsi="Times New Roman" w:cs="Times New Roman"/>
          <w:sz w:val="24"/>
          <w:szCs w:val="24"/>
          <w:lang w:val="en-US"/>
        </w:rPr>
        <w:t>*</w:t>
      </w:r>
      <w:r>
        <w:rPr>
          <w:rFonts w:ascii="Times New Roman" w:hAnsi="Times New Roman" w:cs="Times New Roman"/>
          <w:position w:val="-30"/>
          <w:sz w:val="24"/>
          <w:szCs w:val="24"/>
        </w:rPr>
        <w:object w:dxaOrig="1665" w:dyaOrig="705">
          <v:shape id="_x0000_i1034" type="#_x0000_t75" style="width:83.6pt;height:35.6pt" o:ole="">
            <v:imagedata r:id="rId26" o:title=""/>
          </v:shape>
          <o:OLEObject Type="Embed" ProgID="Equation.3" ShapeID="_x0000_i1034" DrawAspect="Content" ObjectID="_1409039887" r:id="rId27"/>
        </w:object>
      </w:r>
      <w:r>
        <w:rPr>
          <w:rFonts w:ascii="Times New Roman" w:hAnsi="Times New Roman" w:cs="Times New Roman"/>
          <w:sz w:val="24"/>
          <w:szCs w:val="24"/>
          <w:lang w:val="en-US"/>
        </w:rPr>
        <w:t xml:space="preserve"> (5), where:</w:t>
      </w:r>
    </w:p>
    <w:p w:rsidR="00432582" w:rsidRDefault="00432582" w:rsidP="00432582">
      <w:pPr>
        <w:pStyle w:val="3"/>
        <w:ind w:firstLine="540"/>
        <w:rPr>
          <w:rFonts w:ascii="Times New Roman" w:hAnsi="Times New Roman" w:cs="Times New Roman"/>
          <w:sz w:val="24"/>
          <w:szCs w:val="24"/>
          <w:lang w:val="en-US"/>
        </w:rPr>
      </w:pPr>
    </w:p>
    <w:p w:rsidR="00432582" w:rsidRDefault="00432582" w:rsidP="00432582">
      <w:pPr>
        <w:ind w:left="360" w:firstLine="540"/>
        <w:jc w:val="both"/>
        <w:rPr>
          <w:rFonts w:ascii="Times New Roman" w:hAnsi="Times New Roman"/>
          <w:color w:val="000000"/>
          <w:sz w:val="28"/>
          <w:szCs w:val="28"/>
          <w:lang w:val="en-US"/>
        </w:rPr>
      </w:pPr>
      <w:proofErr w:type="spellStart"/>
      <w:proofErr w:type="gramStart"/>
      <w:r>
        <w:rPr>
          <w:rFonts w:ascii="Times New Roman" w:hAnsi="Times New Roman"/>
          <w:color w:val="000000"/>
          <w:sz w:val="28"/>
          <w:szCs w:val="28"/>
          <w:lang w:val="en-US"/>
        </w:rPr>
        <w:t>Q</w:t>
      </w:r>
      <w:r>
        <w:rPr>
          <w:rFonts w:ascii="Times New Roman" w:hAnsi="Times New Roman"/>
          <w:color w:val="000000"/>
          <w:sz w:val="28"/>
          <w:szCs w:val="28"/>
          <w:vertAlign w:val="subscript"/>
          <w:lang w:val="en-US"/>
        </w:rPr>
        <w:t>comp</w:t>
      </w:r>
      <w:proofErr w:type="spellEnd"/>
      <w:r>
        <w:rPr>
          <w:rFonts w:ascii="Times New Roman" w:hAnsi="Times New Roman"/>
          <w:color w:val="000000"/>
          <w:sz w:val="28"/>
          <w:szCs w:val="28"/>
          <w:vertAlign w:val="subscript"/>
          <w:lang w:val="en-US"/>
        </w:rPr>
        <w:t>.</w:t>
      </w:r>
      <w:proofErr w:type="gramEnd"/>
      <w:r>
        <w:rPr>
          <w:rFonts w:ascii="Times New Roman" w:hAnsi="Times New Roman"/>
          <w:color w:val="000000"/>
          <w:sz w:val="28"/>
          <w:szCs w:val="28"/>
          <w:lang w:val="en-US"/>
        </w:rPr>
        <w:t xml:space="preserve"> – </w:t>
      </w:r>
      <w:proofErr w:type="gramStart"/>
      <w:r>
        <w:rPr>
          <w:rFonts w:ascii="Times New Roman" w:hAnsi="Times New Roman"/>
          <w:color w:val="000000"/>
          <w:sz w:val="28"/>
          <w:szCs w:val="28"/>
          <w:lang w:val="en-US"/>
        </w:rPr>
        <w:t>the</w:t>
      </w:r>
      <w:proofErr w:type="gramEnd"/>
      <w:r>
        <w:rPr>
          <w:rFonts w:ascii="Times New Roman" w:hAnsi="Times New Roman"/>
          <w:color w:val="000000"/>
          <w:sz w:val="28"/>
          <w:szCs w:val="28"/>
          <w:lang w:val="en-US"/>
        </w:rPr>
        <w:t xml:space="preserve"> total volume of trades of the company under evaluation at RTS and MICEX for the periods t and t-1, robles;</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Q</w:t>
      </w:r>
      <w:r>
        <w:rPr>
          <w:rFonts w:ascii="Times New Roman" w:hAnsi="Times New Roman"/>
          <w:color w:val="000000"/>
          <w:sz w:val="28"/>
          <w:szCs w:val="28"/>
          <w:vertAlign w:val="subscript"/>
          <w:lang w:val="en-US"/>
        </w:rPr>
        <w:t>RTS-MICEX</w:t>
      </w:r>
      <w:r>
        <w:rPr>
          <w:rFonts w:ascii="Times New Roman" w:hAnsi="Times New Roman"/>
          <w:color w:val="000000"/>
          <w:sz w:val="28"/>
          <w:szCs w:val="28"/>
          <w:lang w:val="en-US"/>
        </w:rPr>
        <w:t xml:space="preserve"> – the total volume of trades at RTS and MICEX for the </w:t>
      </w:r>
      <w:proofErr w:type="gramStart"/>
      <w:r>
        <w:rPr>
          <w:rFonts w:ascii="Times New Roman" w:hAnsi="Times New Roman"/>
          <w:color w:val="000000"/>
          <w:sz w:val="28"/>
          <w:szCs w:val="28"/>
          <w:lang w:val="en-US"/>
        </w:rPr>
        <w:t>periods</w:t>
      </w:r>
      <w:proofErr w:type="gramEnd"/>
      <w:r>
        <w:rPr>
          <w:rFonts w:ascii="Times New Roman" w:hAnsi="Times New Roman"/>
          <w:color w:val="000000"/>
          <w:sz w:val="28"/>
          <w:szCs w:val="28"/>
          <w:lang w:val="en-US"/>
        </w:rPr>
        <w:t xml:space="preserve"> t and t-1, rubles.</w:t>
      </w:r>
    </w:p>
    <w:p w:rsidR="00432582" w:rsidRDefault="00432582" w:rsidP="00432582">
      <w:pPr>
        <w:tabs>
          <w:tab w:val="left" w:pos="1418"/>
        </w:tabs>
        <w:spacing w:before="60" w:after="60" w:line="240" w:lineRule="auto"/>
        <w:jc w:val="both"/>
        <w:rPr>
          <w:rFonts w:ascii="Times New Roman" w:hAnsi="Times New Roman"/>
          <w:color w:val="000000"/>
          <w:sz w:val="28"/>
          <w:szCs w:val="28"/>
          <w:lang w:val="en-US"/>
        </w:rPr>
      </w:pPr>
      <w:r w:rsidRPr="00432582">
        <w:rPr>
          <w:rFonts w:ascii="Times New Roman" w:hAnsi="Times New Roman"/>
          <w:color w:val="000000"/>
          <w:sz w:val="28"/>
          <w:szCs w:val="28"/>
          <w:lang w:val="en-US"/>
        </w:rPr>
        <w:lastRenderedPageBreak/>
        <w:t xml:space="preserve">4.3.5. </w:t>
      </w:r>
      <w:r>
        <w:rPr>
          <w:rFonts w:ascii="Times New Roman" w:hAnsi="Times New Roman"/>
          <w:color w:val="000000"/>
          <w:sz w:val="28"/>
          <w:szCs w:val="28"/>
          <w:lang w:val="en-US"/>
        </w:rPr>
        <w:t xml:space="preserve">If except the ordinary shares the company has issued the preferred ones, then while determining the amount of remuneration in accordance with paragraph 4.3 only ordinary shares should be accounted. </w:t>
      </w:r>
    </w:p>
    <w:p w:rsidR="00432582" w:rsidRDefault="00432582" w:rsidP="00432582">
      <w:pPr>
        <w:tabs>
          <w:tab w:val="left" w:pos="1418"/>
        </w:tabs>
        <w:spacing w:before="60" w:after="60" w:line="240" w:lineRule="auto"/>
        <w:jc w:val="both"/>
        <w:rPr>
          <w:rFonts w:ascii="Times New Roman" w:hAnsi="Times New Roman"/>
          <w:color w:val="000000"/>
          <w:sz w:val="28"/>
          <w:szCs w:val="28"/>
          <w:lang w:val="en-US"/>
        </w:rPr>
      </w:pPr>
      <w:r w:rsidRPr="00432582">
        <w:rPr>
          <w:rFonts w:ascii="Times New Roman" w:hAnsi="Times New Roman"/>
          <w:color w:val="000000"/>
          <w:sz w:val="28"/>
          <w:szCs w:val="28"/>
          <w:lang w:val="en-US"/>
        </w:rPr>
        <w:t xml:space="preserve">4.3.6. </w:t>
      </w:r>
      <w:r>
        <w:rPr>
          <w:rFonts w:ascii="Times New Roman" w:hAnsi="Times New Roman"/>
          <w:color w:val="000000"/>
          <w:sz w:val="28"/>
          <w:szCs w:val="28"/>
          <w:lang w:val="en-US"/>
        </w:rPr>
        <w:t>Remuneration for increase of enterprise value is paid only in case if the average monthly volume of transactions on ordinary shares, concluded during the term of authorities of the BoD, is at least 1.5 million rubles;</w:t>
      </w:r>
    </w:p>
    <w:p w:rsidR="00432582" w:rsidRDefault="00432582" w:rsidP="00432582">
      <w:pPr>
        <w:ind w:left="360" w:firstLine="540"/>
        <w:jc w:val="both"/>
        <w:rPr>
          <w:rFonts w:ascii="Times New Roman" w:hAnsi="Times New Roman"/>
          <w:color w:val="000000"/>
          <w:sz w:val="28"/>
          <w:szCs w:val="28"/>
          <w:lang w:val="en-US"/>
        </w:rPr>
      </w:pPr>
    </w:p>
    <w:p w:rsidR="00432582" w:rsidRDefault="00432582" w:rsidP="00432582">
      <w:pPr>
        <w:tabs>
          <w:tab w:val="left" w:pos="1276"/>
        </w:tabs>
        <w:spacing w:before="60" w:after="6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4.4. Remuneration specified in subparagraphs 4.2 and 4.3 is paid by Company’s assignee within a month from the date of termination of Company’s activity.</w:t>
      </w:r>
    </w:p>
    <w:p w:rsidR="00432582" w:rsidRDefault="00432582" w:rsidP="00432582">
      <w:pPr>
        <w:tabs>
          <w:tab w:val="left" w:pos="1276"/>
        </w:tabs>
        <w:spacing w:before="60" w:after="60" w:line="240" w:lineRule="auto"/>
        <w:jc w:val="both"/>
        <w:rPr>
          <w:rFonts w:ascii="Times New Roman" w:hAnsi="Times New Roman"/>
          <w:color w:val="000000"/>
          <w:sz w:val="28"/>
          <w:szCs w:val="28"/>
          <w:lang w:val="en-US"/>
        </w:rPr>
      </w:pPr>
      <w:r>
        <w:rPr>
          <w:rFonts w:ascii="Times New Roman" w:hAnsi="Times New Roman"/>
          <w:color w:val="000000"/>
          <w:sz w:val="28"/>
          <w:szCs w:val="28"/>
        </w:rPr>
        <w:t xml:space="preserve">4.5. </w:t>
      </w:r>
      <w:r>
        <w:rPr>
          <w:rFonts w:ascii="Times New Roman" w:hAnsi="Times New Roman"/>
          <w:color w:val="000000"/>
          <w:sz w:val="28"/>
          <w:szCs w:val="28"/>
          <w:lang w:val="en-US"/>
        </w:rPr>
        <w:t>Restrictions in payment of remuneration</w:t>
      </w:r>
    </w:p>
    <w:p w:rsidR="00432582" w:rsidRDefault="00432582" w:rsidP="00432582">
      <w:pPr>
        <w:numPr>
          <w:ilvl w:val="2"/>
          <w:numId w:val="4"/>
        </w:numPr>
        <w:spacing w:before="60" w:after="60" w:line="240" w:lineRule="auto"/>
        <w:ind w:left="0" w:firstLine="0"/>
        <w:jc w:val="both"/>
        <w:rPr>
          <w:rFonts w:ascii="Times New Roman" w:hAnsi="Times New Roman"/>
          <w:color w:val="000000"/>
          <w:sz w:val="28"/>
          <w:szCs w:val="28"/>
          <w:lang w:val="en-US"/>
        </w:rPr>
      </w:pPr>
      <w:r>
        <w:rPr>
          <w:rFonts w:ascii="Times New Roman" w:hAnsi="Times New Roman"/>
          <w:color w:val="000000"/>
          <w:sz w:val="28"/>
          <w:szCs w:val="28"/>
          <w:lang w:val="en-US"/>
        </w:rPr>
        <w:t>Remuneration specified in paragraphs 4.2 and 4.3 is not paid if a member of the Board of Directors did not participate in more than 50% of meetings.</w:t>
      </w:r>
    </w:p>
    <w:p w:rsidR="00432582" w:rsidRDefault="00432582" w:rsidP="00432582">
      <w:pPr>
        <w:numPr>
          <w:ilvl w:val="2"/>
          <w:numId w:val="4"/>
        </w:numPr>
        <w:spacing w:before="60" w:after="60" w:line="240" w:lineRule="auto"/>
        <w:ind w:left="0" w:firstLine="0"/>
        <w:jc w:val="both"/>
        <w:rPr>
          <w:rFonts w:ascii="Times New Roman" w:hAnsi="Times New Roman"/>
          <w:color w:val="000000"/>
          <w:sz w:val="28"/>
          <w:szCs w:val="28"/>
          <w:lang w:val="en-US"/>
        </w:rPr>
      </w:pPr>
      <w:r>
        <w:rPr>
          <w:rFonts w:ascii="Times New Roman" w:hAnsi="Times New Roman"/>
          <w:color w:val="000000"/>
          <w:sz w:val="28"/>
          <w:szCs w:val="28"/>
          <w:lang w:val="en-US"/>
        </w:rPr>
        <w:t>The volume of remuneration specified in paragraph 4.2 cannot exceed the wage of director general fixed in 2007 by the BoD:</w:t>
      </w:r>
    </w:p>
    <w:p w:rsidR="00432582" w:rsidRDefault="00432582" w:rsidP="00432582">
      <w:pPr>
        <w:numPr>
          <w:ilvl w:val="0"/>
          <w:numId w:val="5"/>
        </w:numPr>
        <w:tabs>
          <w:tab w:val="left" w:pos="993"/>
        </w:tabs>
        <w:spacing w:after="0" w:line="240" w:lineRule="auto"/>
        <w:ind w:left="709" w:firstLine="0"/>
        <w:jc w:val="both"/>
        <w:rPr>
          <w:rFonts w:ascii="Times New Roman" w:hAnsi="Times New Roman"/>
          <w:color w:val="000000"/>
          <w:sz w:val="28"/>
          <w:szCs w:val="28"/>
          <w:lang w:val="en-US"/>
        </w:rPr>
      </w:pPr>
      <w:r>
        <w:rPr>
          <w:rFonts w:ascii="Times New Roman" w:hAnsi="Times New Roman"/>
          <w:color w:val="000000"/>
          <w:sz w:val="28"/>
          <w:szCs w:val="28"/>
          <w:lang w:val="en-US"/>
        </w:rPr>
        <w:t>more than 4 times for a member of the Board of Directors;</w:t>
      </w:r>
    </w:p>
    <w:p w:rsidR="00432582" w:rsidRDefault="00432582" w:rsidP="00432582">
      <w:pPr>
        <w:numPr>
          <w:ilvl w:val="0"/>
          <w:numId w:val="5"/>
        </w:numPr>
        <w:tabs>
          <w:tab w:val="left" w:pos="993"/>
        </w:tabs>
        <w:spacing w:after="0" w:line="240" w:lineRule="auto"/>
        <w:ind w:left="709" w:firstLine="0"/>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more</w:t>
      </w:r>
      <w:proofErr w:type="gramEnd"/>
      <w:r>
        <w:rPr>
          <w:rFonts w:ascii="Times New Roman" w:hAnsi="Times New Roman"/>
          <w:color w:val="000000"/>
          <w:sz w:val="28"/>
          <w:szCs w:val="28"/>
          <w:lang w:val="en-US"/>
        </w:rPr>
        <w:t xml:space="preserve"> than 5 times for a chairperson of the Board of Directors.</w:t>
      </w:r>
    </w:p>
    <w:p w:rsidR="00432582" w:rsidRDefault="00432582" w:rsidP="00432582">
      <w:pPr>
        <w:numPr>
          <w:ilvl w:val="2"/>
          <w:numId w:val="4"/>
        </w:numPr>
        <w:tabs>
          <w:tab w:val="left" w:pos="851"/>
        </w:tabs>
        <w:spacing w:before="60" w:after="60" w:line="240" w:lineRule="auto"/>
        <w:ind w:left="0" w:firstLine="0"/>
        <w:jc w:val="both"/>
        <w:rPr>
          <w:rFonts w:ascii="Times New Roman" w:hAnsi="Times New Roman"/>
          <w:color w:val="000000"/>
          <w:sz w:val="28"/>
          <w:szCs w:val="28"/>
          <w:lang w:val="en-US"/>
        </w:rPr>
      </w:pPr>
      <w:r>
        <w:rPr>
          <w:rFonts w:ascii="Times New Roman" w:hAnsi="Times New Roman"/>
          <w:color w:val="000000"/>
          <w:sz w:val="28"/>
          <w:szCs w:val="28"/>
          <w:lang w:val="en-US"/>
        </w:rPr>
        <w:t>Remuneration specified in paragraph 4.3 2 cannot exceed the wage of director general fixed in 2007 by the BoD more than 3 times.</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Remuneration specified in subparagraph 4.3 is paid within one month after the date of the financial statements, following the date of termination of the powers of a member of the Board of Directors.</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4.6. A member of the Board of Directors of the Company can refuse to get remuneration specified by the present Regulations fully or partially by sending the corresponding notification to the Director General of the Company.</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In case of existing the abovementioned notification payment of remuneration of all types to the member of the Board of Directors is carried out only at the written consent of the member of the Board of Directors of the Company. In case of occurring the grounds of remuneration payment, the Company is obliged to send to the member of the Board of  Directors of the Company a notification with indication of the sum of a due remuneration. Such a notification should be sent no later than the date of the remuneration payment specified by the present Regulations.</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In case of existing of the written consent of the member of the Board of Directors of the Company to get remuneration, the corresponding remuneration is paid to him/her within seven calendar days after its reception.</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5.</w:t>
      </w:r>
      <w:r>
        <w:rPr>
          <w:rFonts w:ascii="Times New Roman" w:hAnsi="Times New Roman"/>
          <w:color w:val="000000"/>
          <w:sz w:val="28"/>
          <w:szCs w:val="28"/>
          <w:lang w:val="en-US"/>
        </w:rPr>
        <w:tab/>
        <w:t>Payment of compensation.</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5.1. In case of the member of the Board of Directors being sent to a business trip for visiting of the Company’s objects, having meetings with the shareholders and investors, participating in the General meeting of shareholders, and also for implementing other tasks, related to the functions of a member of the Board of Directors of the Company, the following compensation is paid to the member of the Board </w:t>
      </w:r>
      <w:proofErr w:type="gramStart"/>
      <w:r>
        <w:rPr>
          <w:rFonts w:ascii="Times New Roman" w:hAnsi="Times New Roman"/>
          <w:color w:val="000000"/>
          <w:sz w:val="28"/>
          <w:szCs w:val="28"/>
          <w:lang w:val="en-US"/>
        </w:rPr>
        <w:t>of  Directors</w:t>
      </w:r>
      <w:proofErr w:type="gramEnd"/>
      <w:r>
        <w:rPr>
          <w:rFonts w:ascii="Times New Roman" w:hAnsi="Times New Roman"/>
          <w:color w:val="000000"/>
          <w:sz w:val="28"/>
          <w:szCs w:val="28"/>
          <w:lang w:val="en-US"/>
        </w:rPr>
        <w:t>:</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proofErr w:type="gramStart"/>
      <w:r>
        <w:rPr>
          <w:rFonts w:ascii="Times New Roman" w:hAnsi="Times New Roman"/>
          <w:color w:val="000000"/>
          <w:sz w:val="28"/>
          <w:szCs w:val="28"/>
          <w:lang w:val="en-US"/>
        </w:rPr>
        <w:t>payment</w:t>
      </w:r>
      <w:proofErr w:type="gramEnd"/>
      <w:r>
        <w:rPr>
          <w:rFonts w:ascii="Times New Roman" w:hAnsi="Times New Roman"/>
          <w:color w:val="000000"/>
          <w:sz w:val="28"/>
          <w:szCs w:val="28"/>
          <w:lang w:val="en-US"/>
        </w:rPr>
        <w:t xml:space="preserve"> of daily allowances according to the procedure established for the sole executive body of the Company, or the sole executive body of the managing organization of the Company;</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 reimbursement of expenses on travel to the place of a business trip and back to the place of employment or residence (including insurance payment on the obligatory personal insurance of the passengers on transport, payment for the services on processing travel documents, etc.) in the amount of actual expenses confirmed by the travel documents, but no more than the travel fare:</w:t>
      </w:r>
    </w:p>
    <w:p w:rsidR="00432582" w:rsidRDefault="00432582" w:rsidP="00432582">
      <w:pPr>
        <w:ind w:left="360" w:firstLine="540"/>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by</w:t>
      </w:r>
      <w:proofErr w:type="gramEnd"/>
      <w:r>
        <w:rPr>
          <w:rFonts w:ascii="Times New Roman" w:hAnsi="Times New Roman"/>
          <w:color w:val="000000"/>
          <w:sz w:val="28"/>
          <w:szCs w:val="28"/>
          <w:lang w:val="en-US"/>
        </w:rPr>
        <w:t xml:space="preserve"> a railway transport - in the carriage of the heightened comfort of business-class (SV, S);</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by a marine and river transport - on the tariffs set by the transport company, but no more than the fare in a “de </w:t>
      </w:r>
      <w:proofErr w:type="spellStart"/>
      <w:r>
        <w:rPr>
          <w:rFonts w:ascii="Times New Roman" w:hAnsi="Times New Roman"/>
          <w:color w:val="000000"/>
          <w:sz w:val="28"/>
          <w:szCs w:val="28"/>
          <w:lang w:val="en-US"/>
        </w:rPr>
        <w:t>luxe</w:t>
      </w:r>
      <w:proofErr w:type="spellEnd"/>
      <w:r>
        <w:rPr>
          <w:rFonts w:ascii="Times New Roman" w:hAnsi="Times New Roman"/>
          <w:color w:val="000000"/>
          <w:sz w:val="28"/>
          <w:szCs w:val="28"/>
          <w:lang w:val="en-US"/>
        </w:rPr>
        <w:t>” cabin with complex service for passengers;</w:t>
      </w:r>
    </w:p>
    <w:p w:rsidR="00432582" w:rsidRDefault="00432582" w:rsidP="00432582">
      <w:pPr>
        <w:ind w:left="360" w:firstLine="540"/>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by</w:t>
      </w:r>
      <w:proofErr w:type="gramEnd"/>
      <w:r>
        <w:rPr>
          <w:rFonts w:ascii="Times New Roman" w:hAnsi="Times New Roman"/>
          <w:color w:val="000000"/>
          <w:sz w:val="28"/>
          <w:szCs w:val="28"/>
          <w:lang w:val="en-US"/>
        </w:rPr>
        <w:t xml:space="preserve"> an air transport - on the tariff of business-class;</w:t>
      </w:r>
    </w:p>
    <w:p w:rsidR="00432582" w:rsidRDefault="00432582" w:rsidP="00432582">
      <w:pPr>
        <w:ind w:left="360" w:firstLine="540"/>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by</w:t>
      </w:r>
      <w:proofErr w:type="gramEnd"/>
      <w:r>
        <w:rPr>
          <w:rFonts w:ascii="Times New Roman" w:hAnsi="Times New Roman"/>
          <w:color w:val="000000"/>
          <w:sz w:val="28"/>
          <w:szCs w:val="28"/>
          <w:lang w:val="en-US"/>
        </w:rPr>
        <w:t xml:space="preserve"> a motor transport - in the vehicle of the common use (except for a taxi and car lease);</w:t>
      </w:r>
    </w:p>
    <w:p w:rsidR="00432582" w:rsidRDefault="00432582" w:rsidP="00432582">
      <w:pPr>
        <w:ind w:left="360" w:firstLine="540"/>
        <w:jc w:val="both"/>
        <w:rPr>
          <w:rFonts w:ascii="Times New Roman" w:hAnsi="Times New Roman"/>
          <w:color w:val="000000"/>
          <w:sz w:val="28"/>
          <w:szCs w:val="28"/>
          <w:lang w:val="en-US"/>
        </w:rPr>
      </w:pPr>
      <w:r>
        <w:rPr>
          <w:rFonts w:ascii="Times New Roman" w:hAnsi="Times New Roman"/>
          <w:color w:val="000000"/>
          <w:sz w:val="28"/>
          <w:szCs w:val="28"/>
          <w:lang w:val="en-US"/>
        </w:rPr>
        <w:t>- reimbursement of expenses on an apartment rent (except for the case when a member of the Board of Directors gets a free apartment) in the amount of actual expenses confirmed by the corresponding documents, but no more than three minimum monthly tariff of a first-class worker, set by the branch tariff agreement in the electric power industry of the Russian Federation as at the day of compensation payment, taking into account the indexation, set by the Agreement, for each day of residence.</w:t>
      </w:r>
    </w:p>
    <w:p w:rsidR="00432582" w:rsidRDefault="00432582" w:rsidP="00432582">
      <w:pPr>
        <w:jc w:val="both"/>
        <w:rPr>
          <w:rFonts w:ascii="Times New Roman" w:hAnsi="Times New Roman"/>
          <w:color w:val="000000"/>
          <w:sz w:val="28"/>
          <w:szCs w:val="28"/>
          <w:lang w:val="en-US"/>
        </w:rPr>
      </w:pPr>
      <w:r>
        <w:rPr>
          <w:rFonts w:ascii="Times New Roman" w:hAnsi="Times New Roman"/>
          <w:color w:val="000000"/>
          <w:sz w:val="28"/>
          <w:szCs w:val="28"/>
          <w:lang w:val="en-US"/>
        </w:rPr>
        <w:t>5.2 Payment of compensation is carried out by the Company within one calendar day after submitting the documents confirming the incurred expenses.</w:t>
      </w:r>
    </w:p>
    <w:p w:rsidR="000B2941" w:rsidRPr="00E41669" w:rsidRDefault="00432582" w:rsidP="00E41669">
      <w:pPr>
        <w:tabs>
          <w:tab w:val="left" w:pos="993"/>
        </w:tabs>
        <w:spacing w:before="60" w:after="60" w:line="240" w:lineRule="auto"/>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6.If</w:t>
      </w:r>
      <w:proofErr w:type="gramEnd"/>
      <w:r>
        <w:rPr>
          <w:rFonts w:ascii="Times New Roman" w:hAnsi="Times New Roman"/>
          <w:color w:val="000000"/>
          <w:sz w:val="28"/>
          <w:szCs w:val="28"/>
          <w:lang w:val="en-US"/>
        </w:rPr>
        <w:t xml:space="preserve"> the Company was influenced by changes, or any other circumstances, that make impossible to apply the procedure of calculation of remuneration, have occurred, the Board of Directors  has to put this problem from consideration of the General meeting of shareholders.</w:t>
      </w:r>
      <w:bookmarkStart w:id="0" w:name="_GoBack"/>
      <w:bookmarkEnd w:id="0"/>
    </w:p>
    <w:sectPr w:rsidR="000B2941" w:rsidRPr="00E416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8D" w:rsidRDefault="00F1338D" w:rsidP="00432582">
      <w:pPr>
        <w:spacing w:after="0" w:line="240" w:lineRule="auto"/>
      </w:pPr>
      <w:r>
        <w:separator/>
      </w:r>
    </w:p>
  </w:endnote>
  <w:endnote w:type="continuationSeparator" w:id="0">
    <w:p w:rsidR="00F1338D" w:rsidRDefault="00F1338D" w:rsidP="0043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8D" w:rsidRDefault="00F1338D" w:rsidP="00432582">
      <w:pPr>
        <w:spacing w:after="0" w:line="240" w:lineRule="auto"/>
      </w:pPr>
      <w:r>
        <w:separator/>
      </w:r>
    </w:p>
  </w:footnote>
  <w:footnote w:type="continuationSeparator" w:id="0">
    <w:p w:rsidR="00F1338D" w:rsidRDefault="00F1338D" w:rsidP="00432582">
      <w:pPr>
        <w:spacing w:after="0" w:line="240" w:lineRule="auto"/>
      </w:pPr>
      <w:r>
        <w:continuationSeparator/>
      </w:r>
    </w:p>
  </w:footnote>
  <w:footnote w:id="1">
    <w:p w:rsidR="00432582" w:rsidRDefault="00432582" w:rsidP="00432582">
      <w:pPr>
        <w:pStyle w:val="a4"/>
        <w:ind w:firstLine="0"/>
        <w:rPr>
          <w:sz w:val="16"/>
          <w:szCs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CBE"/>
    <w:multiLevelType w:val="multilevel"/>
    <w:tmpl w:val="217E60BC"/>
    <w:lvl w:ilvl="0">
      <w:start w:val="4"/>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nsid w:val="07225AB8"/>
    <w:multiLevelType w:val="multilevel"/>
    <w:tmpl w:val="F920F9BE"/>
    <w:lvl w:ilvl="0">
      <w:start w:val="4"/>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395646E"/>
    <w:multiLevelType w:val="multilevel"/>
    <w:tmpl w:val="83D85DF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40332FC8"/>
    <w:multiLevelType w:val="hybridMultilevel"/>
    <w:tmpl w:val="38E624A4"/>
    <w:lvl w:ilvl="0" w:tplc="318C18B6">
      <w:start w:val="4"/>
      <w:numFmt w:val="bullet"/>
      <w:lvlText w:val="-"/>
      <w:lvlJc w:val="left"/>
      <w:pPr>
        <w:ind w:left="720" w:hanging="360"/>
      </w:pPr>
      <w:rPr>
        <w:rFonts w:ascii="Times New Roman" w:eastAsia="Times New Roman" w:hAnsi="Times New Roman" w:cs="Times New Roman" w:hint="default"/>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8BA106C"/>
    <w:multiLevelType w:val="hybridMultilevel"/>
    <w:tmpl w:val="D0BC736A"/>
    <w:lvl w:ilvl="0" w:tplc="3ABE1F30">
      <w:start w:val="1"/>
      <w:numFmt w:val="bullet"/>
      <w:lvlText w:val=""/>
      <w:lvlJc w:val="left"/>
      <w:pPr>
        <w:tabs>
          <w:tab w:val="num" w:pos="2149"/>
        </w:tabs>
        <w:ind w:left="2149" w:hanging="360"/>
      </w:pPr>
      <w:rPr>
        <w:rFonts w:ascii="Wingdings 2" w:hAnsi="Wingdings 2" w:hint="default"/>
        <w:lang w:val="en-US"/>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09"/>
    <w:rsid w:val="000B2941"/>
    <w:rsid w:val="000D6303"/>
    <w:rsid w:val="00166409"/>
    <w:rsid w:val="003845AA"/>
    <w:rsid w:val="00432582"/>
    <w:rsid w:val="00A20F65"/>
    <w:rsid w:val="00E41669"/>
    <w:rsid w:val="00ED6AB1"/>
    <w:rsid w:val="00F1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82"/>
    <w:rPr>
      <w:rFonts w:ascii="Calibri" w:eastAsia="Times New Roman" w:hAnsi="Calibri" w:cs="Times New Roman"/>
      <w:lang w:eastAsia="ru-RU"/>
    </w:rPr>
  </w:style>
  <w:style w:type="paragraph" w:styleId="1">
    <w:name w:val="heading 1"/>
    <w:basedOn w:val="a"/>
    <w:link w:val="10"/>
    <w:uiPriority w:val="9"/>
    <w:qFormat/>
    <w:rsid w:val="00ED6AB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AB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D6AB1"/>
    <w:pPr>
      <w:ind w:left="720"/>
      <w:contextualSpacing/>
    </w:pPr>
  </w:style>
  <w:style w:type="paragraph" w:styleId="a4">
    <w:name w:val="footnote text"/>
    <w:basedOn w:val="a"/>
    <w:link w:val="a5"/>
    <w:semiHidden/>
    <w:unhideWhenUsed/>
    <w:rsid w:val="00432582"/>
    <w:pPr>
      <w:spacing w:after="0" w:line="240" w:lineRule="auto"/>
      <w:ind w:firstLine="720"/>
      <w:jc w:val="both"/>
    </w:pPr>
    <w:rPr>
      <w:rFonts w:ascii="Times New Roman" w:hAnsi="Times New Roman"/>
      <w:sz w:val="20"/>
      <w:szCs w:val="20"/>
    </w:rPr>
  </w:style>
  <w:style w:type="character" w:customStyle="1" w:styleId="a5">
    <w:name w:val="Текст сноски Знак"/>
    <w:basedOn w:val="a0"/>
    <w:link w:val="a4"/>
    <w:semiHidden/>
    <w:rsid w:val="00432582"/>
    <w:rPr>
      <w:rFonts w:ascii="Times New Roman" w:eastAsia="Times New Roman" w:hAnsi="Times New Roman" w:cs="Times New Roman"/>
      <w:sz w:val="20"/>
      <w:szCs w:val="20"/>
      <w:lang w:eastAsia="ru-RU"/>
    </w:rPr>
  </w:style>
  <w:style w:type="paragraph" w:styleId="3">
    <w:name w:val="Body Text Indent 3"/>
    <w:basedOn w:val="a"/>
    <w:link w:val="30"/>
    <w:unhideWhenUsed/>
    <w:rsid w:val="00432582"/>
    <w:pPr>
      <w:tabs>
        <w:tab w:val="left" w:pos="709"/>
        <w:tab w:val="left" w:pos="851"/>
      </w:tabs>
      <w:spacing w:after="0" w:line="240" w:lineRule="auto"/>
      <w:ind w:firstLine="709"/>
      <w:jc w:val="both"/>
    </w:pPr>
    <w:rPr>
      <w:rFonts w:ascii="Tahoma" w:hAnsi="Tahoma" w:cs="Tahoma"/>
      <w:szCs w:val="20"/>
    </w:rPr>
  </w:style>
  <w:style w:type="character" w:customStyle="1" w:styleId="30">
    <w:name w:val="Основной текст с отступом 3 Знак"/>
    <w:basedOn w:val="a0"/>
    <w:link w:val="3"/>
    <w:rsid w:val="00432582"/>
    <w:rPr>
      <w:rFonts w:ascii="Tahoma" w:eastAsia="Times New Roman" w:hAnsi="Tahoma" w:cs="Tahoma"/>
      <w:szCs w:val="20"/>
      <w:lang w:eastAsia="ru-RU"/>
    </w:rPr>
  </w:style>
  <w:style w:type="character" w:styleId="a6">
    <w:name w:val="footnote reference"/>
    <w:semiHidden/>
    <w:unhideWhenUsed/>
    <w:rsid w:val="00432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82"/>
    <w:rPr>
      <w:rFonts w:ascii="Calibri" w:eastAsia="Times New Roman" w:hAnsi="Calibri" w:cs="Times New Roman"/>
      <w:lang w:eastAsia="ru-RU"/>
    </w:rPr>
  </w:style>
  <w:style w:type="paragraph" w:styleId="1">
    <w:name w:val="heading 1"/>
    <w:basedOn w:val="a"/>
    <w:link w:val="10"/>
    <w:uiPriority w:val="9"/>
    <w:qFormat/>
    <w:rsid w:val="00ED6AB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AB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D6AB1"/>
    <w:pPr>
      <w:ind w:left="720"/>
      <w:contextualSpacing/>
    </w:pPr>
  </w:style>
  <w:style w:type="paragraph" w:styleId="a4">
    <w:name w:val="footnote text"/>
    <w:basedOn w:val="a"/>
    <w:link w:val="a5"/>
    <w:semiHidden/>
    <w:unhideWhenUsed/>
    <w:rsid w:val="00432582"/>
    <w:pPr>
      <w:spacing w:after="0" w:line="240" w:lineRule="auto"/>
      <w:ind w:firstLine="720"/>
      <w:jc w:val="both"/>
    </w:pPr>
    <w:rPr>
      <w:rFonts w:ascii="Times New Roman" w:hAnsi="Times New Roman"/>
      <w:sz w:val="20"/>
      <w:szCs w:val="20"/>
    </w:rPr>
  </w:style>
  <w:style w:type="character" w:customStyle="1" w:styleId="a5">
    <w:name w:val="Текст сноски Знак"/>
    <w:basedOn w:val="a0"/>
    <w:link w:val="a4"/>
    <w:semiHidden/>
    <w:rsid w:val="00432582"/>
    <w:rPr>
      <w:rFonts w:ascii="Times New Roman" w:eastAsia="Times New Roman" w:hAnsi="Times New Roman" w:cs="Times New Roman"/>
      <w:sz w:val="20"/>
      <w:szCs w:val="20"/>
      <w:lang w:eastAsia="ru-RU"/>
    </w:rPr>
  </w:style>
  <w:style w:type="paragraph" w:styleId="3">
    <w:name w:val="Body Text Indent 3"/>
    <w:basedOn w:val="a"/>
    <w:link w:val="30"/>
    <w:unhideWhenUsed/>
    <w:rsid w:val="00432582"/>
    <w:pPr>
      <w:tabs>
        <w:tab w:val="left" w:pos="709"/>
        <w:tab w:val="left" w:pos="851"/>
      </w:tabs>
      <w:spacing w:after="0" w:line="240" w:lineRule="auto"/>
      <w:ind w:firstLine="709"/>
      <w:jc w:val="both"/>
    </w:pPr>
    <w:rPr>
      <w:rFonts w:ascii="Tahoma" w:hAnsi="Tahoma" w:cs="Tahoma"/>
      <w:szCs w:val="20"/>
    </w:rPr>
  </w:style>
  <w:style w:type="character" w:customStyle="1" w:styleId="30">
    <w:name w:val="Основной текст с отступом 3 Знак"/>
    <w:basedOn w:val="a0"/>
    <w:link w:val="3"/>
    <w:rsid w:val="00432582"/>
    <w:rPr>
      <w:rFonts w:ascii="Tahoma" w:eastAsia="Times New Roman" w:hAnsi="Tahoma" w:cs="Tahoma"/>
      <w:szCs w:val="20"/>
      <w:lang w:eastAsia="ru-RU"/>
    </w:rPr>
  </w:style>
  <w:style w:type="character" w:styleId="a6">
    <w:name w:val="footnote reference"/>
    <w:semiHidden/>
    <w:unhideWhenUsed/>
    <w:rsid w:val="00432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2186</Words>
  <Characters>12462</Characters>
  <Application>Microsoft Office Word</Application>
  <DocSecurity>0</DocSecurity>
  <Lines>103</Lines>
  <Paragraphs>29</Paragraphs>
  <ScaleCrop>false</ScaleCrop>
  <Company>Krokoz™</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dcterms:created xsi:type="dcterms:W3CDTF">2012-09-13T08:07:00Z</dcterms:created>
  <dcterms:modified xsi:type="dcterms:W3CDTF">2012-09-13T08:11:00Z</dcterms:modified>
</cp:coreProperties>
</file>