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6C" w:rsidRPr="00CB586C" w:rsidRDefault="00CB586C" w:rsidP="00CB586C">
      <w:pPr>
        <w:shd w:val="clear" w:color="auto" w:fill="FFFFFF"/>
        <w:tabs>
          <w:tab w:val="left" w:pos="993"/>
        </w:tabs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CB586C">
        <w:rPr>
          <w:rFonts w:ascii="Times New Roman" w:eastAsia="Times New Roman" w:hAnsi="Times New Roman" w:cs="Times New Roman"/>
          <w:lang w:eastAsia="ru-RU"/>
        </w:rPr>
        <w:t>Приложение 5</w:t>
      </w:r>
    </w:p>
    <w:p w:rsidR="00CB586C" w:rsidRPr="00CB586C" w:rsidRDefault="00CB586C" w:rsidP="00CB586C">
      <w:pPr>
        <w:shd w:val="clear" w:color="auto" w:fill="FFFFF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586C">
        <w:rPr>
          <w:rFonts w:ascii="Times New Roman" w:eastAsia="Times New Roman" w:hAnsi="Times New Roman" w:cs="Times New Roman"/>
          <w:b/>
          <w:lang w:eastAsia="ru-RU"/>
        </w:rPr>
        <w:t>Отчет о развитии Общества по приоритетным направлениям в 2016 году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560"/>
        <w:gridCol w:w="1984"/>
        <w:gridCol w:w="9639"/>
      </w:tblGrid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приоритетов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Реквизиты решений органов управления Компании, определившие приоритет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Целевые ориентиры для электросетевого комплекса до 2030 года, установленные Стратегией  развития электросетевого комплекса РФ, которым соответствует приоритет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Мероприятия, реализованные Компанией в 2016 году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Инновационное развитие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05.03.2011, протокол  №106/2011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tabs>
                <w:tab w:val="left" w:pos="219"/>
              </w:tabs>
              <w:spacing w:after="0" w:line="240" w:lineRule="auto"/>
              <w:ind w:left="78"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numPr>
                <w:ilvl w:val="0"/>
                <w:numId w:val="2"/>
              </w:numPr>
              <w:tabs>
                <w:tab w:val="left" w:pos="219"/>
              </w:tabs>
              <w:spacing w:after="0" w:line="240" w:lineRule="auto"/>
              <w:ind w:right="-108" w:firstLine="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Выполнены мероприятия Программы инновационного развития Общества по следующим ключевым направлениям инновационного развития Общества:</w:t>
            </w:r>
          </w:p>
          <w:p w:rsidR="00CB586C" w:rsidRPr="00CB586C" w:rsidRDefault="00CB586C" w:rsidP="00CB586C">
            <w:pPr>
              <w:numPr>
                <w:ilvl w:val="0"/>
                <w:numId w:val="3"/>
              </w:numPr>
              <w:tabs>
                <w:tab w:val="left" w:pos="21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переход к цифровым подстанциям различного класса напряжения 35-110 (220)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CB586C" w:rsidRPr="00CB586C" w:rsidRDefault="00CB586C" w:rsidP="00CB586C">
            <w:pPr>
              <w:numPr>
                <w:ilvl w:val="0"/>
                <w:numId w:val="3"/>
              </w:numPr>
              <w:tabs>
                <w:tab w:val="left" w:pos="21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переход к цифровым активно-адаптивным сетям с распределенной интеллектуальной системой автоматизации и управления;</w:t>
            </w:r>
          </w:p>
          <w:p w:rsidR="00CB586C" w:rsidRPr="00CB586C" w:rsidRDefault="00CB586C" w:rsidP="00CB586C">
            <w:pPr>
              <w:numPr>
                <w:ilvl w:val="0"/>
                <w:numId w:val="3"/>
              </w:numPr>
              <w:tabs>
                <w:tab w:val="left" w:pos="21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переход к комплексной эффективности бизнес-процессов и автоматизации систем управления;</w:t>
            </w:r>
          </w:p>
          <w:p w:rsidR="00CB586C" w:rsidRPr="00CB586C" w:rsidRDefault="00CB586C" w:rsidP="00CB586C">
            <w:pPr>
              <w:numPr>
                <w:ilvl w:val="0"/>
                <w:numId w:val="3"/>
              </w:numPr>
              <w:tabs>
                <w:tab w:val="left" w:pos="21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применение новых технологий и материалов в электроэнергетике;</w:t>
            </w:r>
          </w:p>
          <w:p w:rsidR="00CB586C" w:rsidRPr="00CB586C" w:rsidRDefault="00CB586C" w:rsidP="00CB586C">
            <w:pPr>
              <w:numPr>
                <w:ilvl w:val="0"/>
                <w:numId w:val="3"/>
              </w:numPr>
              <w:tabs>
                <w:tab w:val="left" w:pos="21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системы разработки и внедрения инновационной продукции и технологий;</w:t>
            </w:r>
          </w:p>
          <w:p w:rsidR="00CB586C" w:rsidRPr="00CB586C" w:rsidRDefault="00CB586C" w:rsidP="00CB586C">
            <w:pPr>
              <w:numPr>
                <w:ilvl w:val="0"/>
                <w:numId w:val="15"/>
              </w:numPr>
              <w:tabs>
                <w:tab w:val="left" w:pos="219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кадрового потенциала и партнерства в сфере образования </w:t>
            </w:r>
          </w:p>
          <w:p w:rsidR="00CB586C" w:rsidRPr="00CB586C" w:rsidRDefault="00CB586C" w:rsidP="00CB586C">
            <w:pPr>
              <w:numPr>
                <w:ilvl w:val="0"/>
                <w:numId w:val="2"/>
              </w:numPr>
              <w:tabs>
                <w:tab w:val="left" w:pos="219"/>
              </w:tabs>
              <w:spacing w:after="0" w:line="240" w:lineRule="auto"/>
              <w:ind w:right="-108" w:firstLine="7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Началась разработка актуализированной Программы инновационного развития Общества на 2016-2020 гг. с перспективой до 2025 г.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установленного уровня надежности и качества оказываемых услуг в соответствии с нормативными правовыми актами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18.11.2011, протокол  №121/2011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надежности и качества энергоснабжения до уровня, соответствующего запросу потребителей, в том числе: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обслуживания потребителей (в том числе снижение количества этапов, необходимых для технологического присоединения к электрическим сетям, к 2015 году с 10 до 6 и к 2018 году до 5);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недоотпуска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электрической энергии;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стоимости технологического присоединения для малого и среднего бизнеса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Плановые данные на 2016 год по достижению показателя надежности услуг по передаче электроэнергии утверждены приказом РЭК-ДЦТ КК от 20.06.2012 №10/2012 и составляют 0,0940 ч. 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итогам 2016 года фактическое значение данного показателя составило 0,0124 ч (ниже планового значения на -86,81%).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Таким образом, фактическое значение показателя надежности услуг по передаче электроэнергии не превысило плановые значения и прогнозируемые в Обществе фактические значения на 2016 год.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целях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повышения качества обслуживания потребителей электроэнергии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2016 году ПАО «Кубаньэнерго» выполнены работы по расширению функционала Личного кабинета клиента на сайте Общества в части технологического присоединения и обслуживания потребителей услуг: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предоставления потребителям возможности направления заявлений о выполнении технических условий, обращений и жалоб, заполнения анкет,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предоставления потребителям счетов на оплату по договорам технологического присоединения, электронных копий проектов договоров технологического присоединения, актов о технологическом присоединении, актов разграничения балансовой принадлежности и эксплуатационной ответственности.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2017 год запланировано расширение функционала Личного кабинета в части направления потребителем заявки на временное присоединение и на восстановление/переоформление технических документов.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Процедура технологического присоединения в настоящее время занимает 4 этапа: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подача заявки,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заключение договора,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исполнение договора,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фактическое присоединение.</w:t>
            </w:r>
          </w:p>
          <w:p w:rsidR="00CB586C" w:rsidRPr="00CB586C" w:rsidRDefault="00CB586C" w:rsidP="00CB586C">
            <w:pPr>
              <w:tabs>
                <w:tab w:val="left" w:pos="412"/>
              </w:tabs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1 октября 2015 года размер включаемой в состав платы за технологическое присоединение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энергопринимающих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- от существующих объектов электросетевого хозяйства до присоединяемых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энергопринимающих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устройств и (или) объектов электроэнергетики не может составлять более чем 50 процентов от величины указанных расходов.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(Федеральный закон от 26.03.2003 № 35-ФЗ «Об электроэнергетике»).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целях снижения стоимости технологического присоединения для малого и среднего бизнеса ведется оптимизация технических решений с точки зрения уменьшения объема реконструкции (строительства) объектов электросетевой инфраструктуры со стороны Общества.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отчетном году ПАО «Кубаньэнерго» в целом выполнена основная задача производственной деятельности — обеспечение качественного и бесперебойного электроснабжения потребителей.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Правилами расследования причин аварий в электроэнергетике, утвержденными постановлением Правительства РФ от 28.10.2009 № 846, в ПАО «Кубаньэнерго» организована работа по расследованию причин возникновения аварий.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Суммарный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недоотпуск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электрической энергии потребителям снизился по сравнению с предыдущим годом на 40,2% и составил 3889,628 тыс.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кВт∙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spellEnd"/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показателей аварийности в 2016 году достигнуто за счет проведения целенаправленной работы по повышению надежности работы электросетевого оборудования и ЛЭП Общества. 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выявления причин технологических нарушений (аварий) организовано расследование аварий в соответствие требованиям Постановления Правительства РФ от 28.10.2009 №846 «Об утверждении Правил расследования причин аварий в электроэнергетике» (с изменениями). По итогам расследования намечаются противоаварийные мероприятия, которые являются мероприятиями по минимизации последствий реализации риска, недопущению возникновения аналогичных случаев впредь и покрытия вышеуказанные факторы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Внедрение системы управления производственными активами Общества (далее – СУПА)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15.06.2012, протокол  №137/2012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СУПА Общества завершено в 2013 году, с 2015 года осуществляется ее развитие. 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2016 году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осуществлены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автоматизация планирования работ и ресурсов для выполнения программы ремонтов; 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автоматизация учета затрат на выполнение ремонтной программы; 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в Обществе единой системы нормативно-справочной информации материальных ресурсов;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паспортизация производственных зданий и сооружений;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паспортизация производственных складов и площадок хранения аварийного резерва, автотранспорта;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интеграция системы управления производственными активами и программного комплекса «Аварийность» (ПК «Аварийность»);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автоматизация формирования электронных паспортов ПС и ЛЭП и другой информации для использования в системе управления распределенными ресурсами при производстве аварийно-восстановительных работ);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2017 – 2018 годы запланировано дальнейшее развитие системы управления производственными активами Общества, в том числе: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достоверный учет работ в автоматической системе управления техническим обслуживанием и ремонтами с формированием необходимой отчетности;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интеграция автоматической системы управления техническим обслуживанием и ремонтами и программы ведения бухгалтерской отчетности (1С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:У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ПП) для автоматического формирования фактических показателей в отчетах по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ТОиР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результатам бухгалтерских данных бухгалтерской отчетности;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формирование программы технического обслуживания и ремонтов 2018 года на основании актуализированных индексов состояния 2017 года;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автоматизация электронного журнала дефектов;</w:t>
            </w:r>
          </w:p>
          <w:p w:rsidR="00CB586C" w:rsidRPr="00CB586C" w:rsidRDefault="00CB586C" w:rsidP="00CB586C">
            <w:pPr>
              <w:numPr>
                <w:ilvl w:val="0"/>
                <w:numId w:val="4"/>
              </w:numPr>
              <w:tabs>
                <w:tab w:val="left" w:pos="412"/>
              </w:tabs>
              <w:spacing w:after="0" w:line="240" w:lineRule="auto"/>
              <w:ind w:left="-13" w:right="-108" w:firstLine="14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автоматизация формирования технических паспортов ПС и ЛЭП;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выполнения мероприятий: повышение качества планирования технического обслуживания и ремонтов, повышение производительности труда, сокращение трудоемкости работ по ведению процесса технического обслуживания и ремонтов посредством оптимизации информационно-технологических решений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доступности энергетической инфраструктуры и качества технологического присоединения к электрическим сетям Общества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12.09.2014 №196/2014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Осуществлены:</w:t>
            </w:r>
          </w:p>
          <w:p w:rsidR="00CB586C" w:rsidRPr="00CB586C" w:rsidRDefault="00CB586C" w:rsidP="00CB586C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right="-108" w:firstLine="2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возможность подачи заявки на технологическое присоединение к электрической сети посредством Интернета, через сайт Общества,</w:t>
            </w:r>
          </w:p>
          <w:p w:rsidR="00CB586C" w:rsidRPr="00CB586C" w:rsidRDefault="00CB586C" w:rsidP="00CB586C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right="-108" w:firstLine="2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возможность предварительного расчета стоимости технологического присоединения, по заданным параметрам, на сайте Общества,</w:t>
            </w:r>
          </w:p>
          <w:p w:rsidR="00CB586C" w:rsidRPr="00CB586C" w:rsidRDefault="00CB586C" w:rsidP="00CB586C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right="-108" w:firstLine="2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публикация сведения об общей пропускной способности каждого участка электрической сети, текущего резерва мощности для присоединения потребителей,</w:t>
            </w:r>
          </w:p>
          <w:p w:rsidR="00CB586C" w:rsidRPr="00CB586C" w:rsidRDefault="00CB586C" w:rsidP="00CB586C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4" w:right="-108" w:firstLine="2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время рассмотрения оферты договора снизилось с 13 до 8 дней по сравнению с 2015 годом, а среднее время исполнения договора с 180 до 119 дней.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2017 год запланировано снижение нормативных сроков реализации технологического присоединения для льготных категорий заявителей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Планирование развития распределительного электросетевого комплекса ПАО «Кубаньэнерго»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05.09.2011, протокол №116/2011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Компания приняла непосредственное участие в разработке:</w:t>
            </w:r>
          </w:p>
          <w:p w:rsidR="00CB586C" w:rsidRPr="00CB586C" w:rsidRDefault="00CB586C" w:rsidP="00CB586C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right="-108" w:firstLine="16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Схемы и Программы перспективного развития электроэнергетики Краснодарского края на период 2017 - 2021 годы и Схемы и Программы развития электроэнергетики Республики Адыгея на 2017-2021 годы;</w:t>
            </w:r>
          </w:p>
          <w:p w:rsidR="00CB586C" w:rsidRPr="00CB586C" w:rsidRDefault="00CB586C" w:rsidP="00CB586C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ind w:right="-108" w:firstLine="16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программ комплексного развития систем коммунальной инфраструктуры 44-х муниципальных образований Краснодарского края на период 2016-2018 годы с перспективой до 2030 года.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отчетном году по заказу ПАО «Кубаньэнерго» АО «Институт ЭНЕРГОСЕТЬПРОЕКТ» разработана Комплексная программа развития электрических сетей напряжением 35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выше на территории Краснодарского края и Республики Адыгея на 2017-2021 годы. Данная программа является основой для ежегодного формирования предложений по включению мероприятий в Схемы и Программы перспективного развития электроэнергетики Краснодарского края  и Республики Адыгея на пятилетний период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экологической политики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18.01.2008, протокол  №49/2008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2015 году программа была выполнена в полном объеме. Срок реализации мероприятий окончился.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Деятельность по реализации приоритетного направления является операционной, выполняется постоянно.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Информацию см. в разделе «</w:t>
            </w:r>
            <w:hyperlink w:anchor="_Охрана_окружающей_среды_1" w:history="1">
              <w:r w:rsidRPr="00CB586C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ru-RU"/>
                </w:rPr>
                <w:t>Устойчивое развитие / Охрана окружающей среды</w:t>
              </w:r>
            </w:hyperlink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уровня антитеррористической и противодиверсионной защищенности объектов электросетевого хозяйства Общества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05.08.2010 №94/2010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Информацию см. в разделе «</w:t>
            </w:r>
            <w:hyperlink w:anchor="_Обеспечение_безопасности_деятельнос" w:history="1">
              <w:r w:rsidRPr="00CB586C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ru-RU"/>
                </w:rPr>
                <w:t>Итоги операционной деятельности / Обеспечение безопасности деятельности Компании</w:t>
              </w:r>
            </w:hyperlink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снижению потерь, с использованием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внетарифных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источников финансирования (в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 использованием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контрактов)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Решение Совета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директоров от 20.05.2015, протокол №211/2015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Повышение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эффективности электросетевого комплекса, в том числе: снижение к 2017 году величины потерь на 11% по отношению к уровню 2012 года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Реализация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контрактов (далее ЭСК) является одним из наиболее эффективных мероприятий,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направленных на снижение потерь электроэнергии при передаче. При этом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риски, связанные с выполнением ЭСК находятся в зоне ответственности исполнителя ЭСК, а само выполнение ЭСК фактически является  одной из составляющих другого, более глобального направления деятельности Общества – снижения уровня потерь при ее транспорте. 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целях снижения относительной величины потерь электроэнергии на 11% к 2017 году от фактических показателей 2012 года ПАО «Кубаньэнерго» планирует реализацию мероприятий, направленных на снижение технологических потерь электроэнергии при ее передаче, в том числе с учетом мероприятия на условиях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контрактов.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проектов в области энергосбережения и повышения э</w:t>
            </w:r>
            <w:r w:rsidR="00D913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нергетической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эффективности, целесообразных к реализации на условиях заключения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договоров (контрактов), утвержден Советом директоров Общества 10.12.2013 (скорректирован </w:t>
            </w:r>
            <w:r w:rsidR="00D913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28.03.2017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итогам 2016 года эффект от реализации мероприятий, направленных на снижение потерь электроэнергии при ее передаче, составил в целом 12</w:t>
            </w:r>
            <w:r w:rsidR="00503D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,2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кВт*ч (495,</w:t>
            </w:r>
            <w:r w:rsidR="00503D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млн руб.), в том числе за счет:</w:t>
            </w:r>
          </w:p>
          <w:p w:rsidR="00CB586C" w:rsidRPr="00CB586C" w:rsidRDefault="00CB586C" w:rsidP="00CB586C">
            <w:pPr>
              <w:numPr>
                <w:ilvl w:val="0"/>
                <w:numId w:val="6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организационных мероприятий — 47,3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кВт*ч (208,3 млн руб.),</w:t>
            </w:r>
          </w:p>
          <w:p w:rsidR="00CB586C" w:rsidRPr="00CB586C" w:rsidRDefault="00CB586C" w:rsidP="00CB586C">
            <w:pPr>
              <w:numPr>
                <w:ilvl w:val="0"/>
                <w:numId w:val="6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технических мероприятий — 4,2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кВт*ч (10,8млн руб.),</w:t>
            </w:r>
          </w:p>
          <w:p w:rsidR="00CB586C" w:rsidRPr="00CB586C" w:rsidRDefault="00CB586C" w:rsidP="00CB586C">
            <w:pPr>
              <w:numPr>
                <w:ilvl w:val="0"/>
                <w:numId w:val="6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совершенствования учета электроэнергии — 68,7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кВт*ч (276,1 млн руб.).</w:t>
            </w:r>
          </w:p>
          <w:p w:rsidR="00CB586C" w:rsidRPr="00CB586C" w:rsidRDefault="00CB586C" w:rsidP="00CB586C">
            <w:pPr>
              <w:numPr>
                <w:ilvl w:val="0"/>
                <w:numId w:val="6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дальнейшем эту работу предполагается продолжить.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2015-2016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г.г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Обществом заключено 17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контрактов (далее ЭСК) на общую сумму более 2,1 млрд. руб., проекты охватывают более 78 тыс. точек учета, предполагаемый эффект от выполнения мероприятий ЭСК составит около 505 млн. кВт*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итогам реализации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энергосервисных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контрактов в 2016 году получен эффект 119,2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*ч, в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.:</w:t>
            </w:r>
          </w:p>
          <w:p w:rsidR="00CB586C" w:rsidRPr="00CB586C" w:rsidRDefault="00CB586C" w:rsidP="00CB586C">
            <w:pPr>
              <w:numPr>
                <w:ilvl w:val="0"/>
                <w:numId w:val="7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потерь - 66,9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*ч;</w:t>
            </w:r>
          </w:p>
          <w:p w:rsidR="00CB586C" w:rsidRPr="00CB586C" w:rsidRDefault="00CB586C" w:rsidP="00CB586C">
            <w:pPr>
              <w:numPr>
                <w:ilvl w:val="0"/>
                <w:numId w:val="7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рост полезного отпуска - 52,3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млн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*ч.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централизации и автоматизации казначейской функции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Решения Совета директоров: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13.03.2015, протокол №205/2015, 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от 22.05.2015, протокол №212/2015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2016 году продолжена работа по актуализации отчетных форм и справочников «1С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:П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редприятие», используемых при подготовке шаблонов для загрузки информации в автоматизированную информационную систему учёта казначейских операций, с целью организации информационного обмена с единой ИТ-системой Единого казначейства ПАО «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системы внутреннего контроля и управления рисками, развитие функции внутреннего аудита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12.09.2014 №196/2014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 Совета директоров ОАО «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(протокол от 13.02.2014 №143) утверждена Стратегия развития и совершенствования системы внутреннего контроля ОАО «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и его ДЗО.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целях реализации данной Стратегии Совет директоров Общества определил развитие и совершенствование системы внутреннего контроля и управления рисками, функции внутреннего аудита как приоритетное направление (протокол от 12.09.2014 №196/2014) и утвердил следующие документы (протокол от 18.03.2016 №233/2016)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</w:p>
          <w:p w:rsidR="00CB586C" w:rsidRPr="00CB586C" w:rsidRDefault="00CB586C" w:rsidP="00CB586C">
            <w:pPr>
              <w:numPr>
                <w:ilvl w:val="0"/>
                <w:numId w:val="11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Политика внутреннего контроля Общества в новой редакции;</w:t>
            </w:r>
          </w:p>
          <w:p w:rsidR="00CB586C" w:rsidRPr="00CB586C" w:rsidRDefault="00CB586C" w:rsidP="00CB586C">
            <w:pPr>
              <w:numPr>
                <w:ilvl w:val="0"/>
                <w:numId w:val="11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Политика управления рисками Общества в новой редакции;</w:t>
            </w:r>
          </w:p>
          <w:p w:rsidR="00CB586C" w:rsidRPr="00CB586C" w:rsidRDefault="00CB586C" w:rsidP="00CB586C">
            <w:pPr>
              <w:numPr>
                <w:ilvl w:val="0"/>
                <w:numId w:val="11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Политика внутреннего аудита Общества в новой редакции.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2016 году генеральным директором Общества утверждены документы, направленные на развитие системы внутреннего контроля, системы управления рисками, внутреннего аудита, в том числе утвержден и реализуется План мероприятий по развитию и совершенствованию системы внутреннего контроля и системы управления рисками ПАО «Кубаньэнерго» на 2016-2018 гг. (подробнее см. в  разделах «</w:t>
            </w:r>
            <w:hyperlink w:anchor="_Система_управления_рисками" w:history="1">
              <w:r w:rsidRPr="00CB586C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ru-RU"/>
                </w:rPr>
                <w:t>О Компании / Система управления рисками Компании</w:t>
              </w:r>
            </w:hyperlink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«</w:t>
            </w:r>
            <w:hyperlink w:anchor="_Внутренний_контроль_и_1" w:history="1">
              <w:r w:rsidRPr="00CB586C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ru-RU"/>
                </w:rPr>
                <w:t xml:space="preserve">Внутренний контроль </w:t>
              </w:r>
              <w:r w:rsidRPr="00CB586C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ru-RU"/>
                </w:rPr>
                <w:lastRenderedPageBreak/>
                <w:t>и внутренний аудит</w:t>
              </w:r>
            </w:hyperlink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  <w:proofErr w:type="gramEnd"/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2016 году в Обществе управление рисками осуществлялось в соответствии с реестрами: </w:t>
            </w:r>
          </w:p>
          <w:p w:rsidR="00CB586C" w:rsidRPr="00CB586C" w:rsidRDefault="00CB586C" w:rsidP="00CB586C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right="-108" w:firstLine="16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ключевых операционных рисков;</w:t>
            </w:r>
          </w:p>
          <w:p w:rsidR="00CB586C" w:rsidRPr="00CB586C" w:rsidRDefault="00CB586C" w:rsidP="00CB586C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right="-108" w:firstLine="16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операционных рисков основных бизнес-процессов;</w:t>
            </w:r>
          </w:p>
          <w:p w:rsidR="00CB586C" w:rsidRPr="00CB586C" w:rsidRDefault="00CB586C" w:rsidP="00CB586C">
            <w:pPr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34" w:right="-108" w:firstLine="16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операционных рисков прочих бизнес-процессов.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выявленных рисков регулярно актуализируется, реализуются мероприятия по их управлению; информация о функционировании системы управления рисками, о выполнении мероприятий по управлению рисками Общества рассматривается органами управления Общества:</w:t>
            </w:r>
          </w:p>
          <w:p w:rsidR="00CB586C" w:rsidRPr="00CB586C" w:rsidRDefault="00CB586C" w:rsidP="00CB586C">
            <w:pPr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right="-108" w:firstLine="2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Правлением Общества – ежеквартально; </w:t>
            </w:r>
          </w:p>
          <w:p w:rsidR="00CB586C" w:rsidRPr="00CB586C" w:rsidRDefault="00CB586C" w:rsidP="00CB586C">
            <w:pPr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right="-108" w:firstLine="2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Комитетом по стратегии, развитию, инвестиция и реформированию Совета директоров Общества – по итогам первого полугодия и по итогам года;</w:t>
            </w:r>
          </w:p>
          <w:p w:rsidR="00CB586C" w:rsidRPr="00CB586C" w:rsidRDefault="00CB586C" w:rsidP="00CB586C">
            <w:pPr>
              <w:numPr>
                <w:ilvl w:val="0"/>
                <w:numId w:val="8"/>
              </w:numPr>
              <w:tabs>
                <w:tab w:val="left" w:pos="410"/>
              </w:tabs>
              <w:spacing w:after="0" w:line="240" w:lineRule="auto"/>
              <w:ind w:right="-108" w:firstLine="2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Советом директоров Общества – по итогам года.</w:t>
            </w:r>
          </w:p>
          <w:p w:rsidR="00CB586C" w:rsidRPr="00CB586C" w:rsidRDefault="00CB586C" w:rsidP="00CB586C">
            <w:pPr>
              <w:tabs>
                <w:tab w:val="left" w:pos="410"/>
              </w:tabs>
              <w:spacing w:after="0" w:line="240" w:lineRule="auto"/>
              <w:ind w:right="-108" w:firstLine="2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целях совершенствования функционирования системы внутреннего контроля Советом директоров разграничены функции внутреннего аудита и внутреннего контроля (протокол от 01.06.2016 №241/2016):</w:t>
            </w:r>
          </w:p>
          <w:p w:rsidR="00CB586C" w:rsidRPr="00CB586C" w:rsidRDefault="00CB586C" w:rsidP="00CB586C">
            <w:pPr>
              <w:numPr>
                <w:ilvl w:val="0"/>
                <w:numId w:val="9"/>
              </w:numPr>
              <w:tabs>
                <w:tab w:val="left" w:pos="410"/>
              </w:tabs>
              <w:spacing w:after="0" w:line="240" w:lineRule="auto"/>
              <w:ind w:right="-108" w:firstLine="2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утверждена организационная структура Общества, в которой департамент внутреннего аудита административно подчиняется генеральному директору Общества и функционально – Совету директоров; </w:t>
            </w:r>
          </w:p>
          <w:p w:rsidR="00CB586C" w:rsidRPr="00CB586C" w:rsidRDefault="00CB586C" w:rsidP="00CB586C">
            <w:pPr>
              <w:numPr>
                <w:ilvl w:val="0"/>
                <w:numId w:val="9"/>
              </w:numPr>
              <w:tabs>
                <w:tab w:val="left" w:pos="410"/>
              </w:tabs>
              <w:spacing w:after="0" w:line="240" w:lineRule="auto"/>
              <w:ind w:right="-108" w:firstLine="2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введена должность заместителя генерального директора по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контроллингу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подчинением дирекции внутреннего контроля и управления рисками и департамента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контроллинга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реализации функции внутреннего аудита проведена оценка эффективности системы внутреннего контроля и управления рисками, результаты которой предоставляются Совету директоров (с предварительным рассмотрением Комитетом по аудиту Совета директоров). По итогам 2016 года уровень зрелости системы внутреннего контроля и системы управления рисками определен Комитетом по аудиту Совета директоров как «умеренный» (протокол от 20.03.2017 №51/2017)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Стратегия Общества в области информационных технологий, автоматизации и телекоммуникаций на период до 2016 г.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20.06.2012 №138/2012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Подробную  информацию см. в разделе «</w:t>
            </w:r>
            <w:hyperlink w:anchor="_Развитие_корпоративных_и_1" w:history="1">
              <w:r w:rsidRPr="00CB586C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eastAsia="ru-RU"/>
                </w:rPr>
                <w:t>Итоги операционной деятельности / Развитие корпоративных и технологических автоматизированных систем управления</w:t>
              </w:r>
            </w:hyperlink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эксплуатация волоконно-оптических линий  связи (ВОЛС)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03.05.2012 №133/2012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 w:firstLine="4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Решением Совета директоров Общества был утвержден план мероприятий  по строительству и эксплуатации ВОЛС на 2012 год. На последующие периоды планы не утверждались. В настоящее время проектирование и строительство ВОЛС осуществляется в рамках реализации титулов инвестиционной программы Общества. Таким образом, направление деятельности Общества «Строительство и эксплуатация волоконно-оптических линий  связи»  как отдельное приоритетное направление деятельности Общества утратило актуальность.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4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рамках титулов Инвестиционной программы Общества в 2016 году построено 66,4 км ВОЛС. С использованием данных ВОЛС в соответствии с современными требованиями организована корпоративная сеть передачи данных, а также каналы диспетчерской и технологической связи в направлении диспетчерского пункта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Теучежского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РЭСа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филиала Общества Краснодарские электрические сети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Консолидация электросетевых активов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Решение Совета директоров от 18.11.2011,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протокол  №121/2011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Снижение количества территориальных сетевых организаций на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 процентов к 2017 году относительно уровня 2012 года и на 50 процентов к 2030 году относительно уровня 2017 года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firstLine="412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 целью</w:t>
            </w:r>
            <w:r w:rsidRPr="00CB58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увеличения необходимой валовой выручки на территории обслуживания ПАО «Кубаньэнерго», а также сокращения количества территориальных сетевых компаний,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Обществом в 2011 году была подготовлена долгосрочная программа консолидации электросетевых активов на  2011-2015 гг.,  которая утверждена Советом директоров (протокол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 21.11.2011 №121/2011) и которая являлась одним из приоритетных направлений деятельности Общества. </w:t>
            </w:r>
          </w:p>
          <w:p w:rsidR="00CB586C" w:rsidRPr="00CB586C" w:rsidRDefault="00CB586C" w:rsidP="00CB586C">
            <w:pPr>
              <w:spacing w:after="0" w:line="240" w:lineRule="auto"/>
              <w:ind w:firstLine="412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Задачей программы являлось приобретение неподконтрольных Обществу сетевых активов и обеспечение эффективного использования переданного в собственность, аренду и по другим способам консолидации электросетевого имущества.</w:t>
            </w:r>
            <w:r w:rsidRPr="00CB58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Консолидация электросетевого имущества за период 2011-2015 повысила надежность и бесперебойное энергоснабжение региона и снизила потери электроэнергии на приобретенных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энергообъектах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Достигнутый эффект от реализации Программы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консолидации электросетевых активов</w:t>
            </w:r>
            <w:r w:rsidRPr="00CB586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– это увеличение доли рынка по необходимой валовой выручке (НВВ)  с 58% (2011 г) до 73 % (2015 г).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настоящее время программа консолидации электросетевых активов на  2011-2015 гг. утратила свое действие.</w:t>
            </w:r>
          </w:p>
          <w:p w:rsidR="00CB586C" w:rsidRPr="00CB586C" w:rsidRDefault="00CB586C" w:rsidP="00CB586C">
            <w:pPr>
              <w:spacing w:after="0" w:line="240" w:lineRule="auto"/>
              <w:ind w:firstLine="412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Однако деятельность Общества в части консолидации в 2016 году была продолжена. Общество заинтересовано в создании на территории Краснодарского края и Республики Адыгея единого центра ответственности за качественное и надежное электроснабжение потребителей, устранении «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лоскутности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сети.  Для реализации данной стратегии Общество:</w:t>
            </w:r>
          </w:p>
          <w:p w:rsidR="00CB586C" w:rsidRPr="00CB586C" w:rsidRDefault="00CB586C" w:rsidP="00CB586C">
            <w:pPr>
              <w:numPr>
                <w:ilvl w:val="0"/>
                <w:numId w:val="12"/>
              </w:numPr>
              <w:tabs>
                <w:tab w:val="left" w:pos="416"/>
              </w:tabs>
              <w:spacing w:after="0" w:line="240" w:lineRule="auto"/>
              <w:ind w:firstLine="412"/>
              <w:contextualSpacing/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  <w:t xml:space="preserve"> проводит активную  работу по «подхвату» ТСО, не соответствующих критериям, установленным постановлением Правительства РФ от 28.02.2015 № 184 «Об отнесении владельцев электросетевого хозяйства к территориальным сетевым организациям» (в отчетном году осуществлена оценка целесообразности консолидации данных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  <w:t>энергообъектов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  <w:t xml:space="preserve">, ТСО направлены соответствующие предложения); </w:t>
            </w:r>
          </w:p>
          <w:p w:rsidR="00CB586C" w:rsidRPr="00CB586C" w:rsidRDefault="00CB586C" w:rsidP="00CB586C">
            <w:pPr>
              <w:numPr>
                <w:ilvl w:val="0"/>
                <w:numId w:val="12"/>
              </w:numPr>
              <w:tabs>
                <w:tab w:val="left" w:pos="416"/>
              </w:tabs>
              <w:spacing w:after="0" w:line="240" w:lineRule="auto"/>
              <w:ind w:firstLine="412"/>
              <w:contextualSpacing/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  <w:t xml:space="preserve">во исполнение решений совещания под руководством заместителя главы администрации Краснодарского края от 02.12.2015 проводит инвентаризацию  бесхозяйных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  <w:t>энергообъектов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color w:val="10253F"/>
                <w:sz w:val="18"/>
                <w:szCs w:val="18"/>
                <w:shd w:val="clear" w:color="auto" w:fill="FFFFFF"/>
                <w:lang w:eastAsia="ru-RU"/>
              </w:rPr>
              <w:t>, консолидацию муниципального имущества на базе ПАО «Кубаньэнерго».</w:t>
            </w:r>
          </w:p>
          <w:p w:rsidR="00CB586C" w:rsidRPr="00CB586C" w:rsidRDefault="00CB586C" w:rsidP="00CB586C">
            <w:pPr>
              <w:spacing w:after="0" w:line="240" w:lineRule="auto"/>
              <w:ind w:firstLine="412"/>
              <w:contextualSpacing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Итоги реализации Программы консолидации электросетевых активов в Компании в 2014-2016 </w:t>
            </w:r>
            <w:proofErr w:type="spellStart"/>
            <w:proofErr w:type="gramStart"/>
            <w:r w:rsidRPr="00CB586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CB586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676"/>
              <w:gridCol w:w="642"/>
              <w:gridCol w:w="666"/>
              <w:gridCol w:w="676"/>
              <w:gridCol w:w="642"/>
              <w:gridCol w:w="666"/>
              <w:gridCol w:w="676"/>
              <w:gridCol w:w="640"/>
              <w:gridCol w:w="695"/>
            </w:tblGrid>
            <w:tr w:rsidR="00CB586C" w:rsidRPr="00CB586C" w:rsidTr="00125984">
              <w:trPr>
                <w:trHeight w:val="235"/>
              </w:trPr>
              <w:tc>
                <w:tcPr>
                  <w:tcW w:w="18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Мероприятия</w:t>
                  </w:r>
                  <w:r w:rsidRPr="00CB586C">
                    <w:rPr>
                      <w:rFonts w:ascii="Times New Roman" w:eastAsia="Times New Roman" w:hAnsi="Times New Roman" w:cs="Times New Roman"/>
                      <w:b/>
                      <w:sz w:val="14"/>
                      <w:szCs w:val="14"/>
                      <w:lang w:eastAsia="ru-RU"/>
                    </w:rPr>
                    <w:t xml:space="preserve"> </w:t>
                  </w: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Программы консолидации электросетевых активов</w:t>
                  </w:r>
                </w:p>
              </w:tc>
              <w:tc>
                <w:tcPr>
                  <w:tcW w:w="3176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 xml:space="preserve">Объем консолидации электросетевых активов за период </w:t>
                  </w:r>
                </w:p>
              </w:tc>
            </w:tr>
            <w:tr w:rsidR="00CB586C" w:rsidRPr="00CB586C" w:rsidTr="00125984">
              <w:trPr>
                <w:trHeight w:val="140"/>
              </w:trPr>
              <w:tc>
                <w:tcPr>
                  <w:tcW w:w="18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54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2014</w:t>
                  </w:r>
                </w:p>
              </w:tc>
              <w:tc>
                <w:tcPr>
                  <w:tcW w:w="1054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1069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</w:tr>
            <w:tr w:rsidR="00CB586C" w:rsidRPr="00CB586C" w:rsidTr="00125984">
              <w:trPr>
                <w:trHeight w:val="278"/>
              </w:trPr>
              <w:tc>
                <w:tcPr>
                  <w:tcW w:w="18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МВА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Км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У.е.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МВА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Км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У.е.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МВА</w:t>
                  </w:r>
                </w:p>
              </w:tc>
              <w:tc>
                <w:tcPr>
                  <w:tcW w:w="3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Км</w:t>
                  </w:r>
                </w:p>
              </w:tc>
              <w:tc>
                <w:tcPr>
                  <w:tcW w:w="3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5D9F1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/>
                      <w:bCs/>
                      <w:sz w:val="14"/>
                      <w:szCs w:val="14"/>
                      <w:lang w:eastAsia="ru-RU"/>
                    </w:rPr>
                    <w:t>У.е.</w:t>
                  </w:r>
                </w:p>
              </w:tc>
            </w:tr>
            <w:tr w:rsidR="00CB586C" w:rsidRPr="00CB586C" w:rsidTr="00125984">
              <w:trPr>
                <w:trHeight w:val="119"/>
              </w:trPr>
              <w:tc>
                <w:tcPr>
                  <w:tcW w:w="18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E6B8B7"/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Всего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37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504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1165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11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138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443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104</w:t>
                  </w:r>
                </w:p>
              </w:tc>
              <w:tc>
                <w:tcPr>
                  <w:tcW w:w="3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628</w:t>
                  </w:r>
                </w:p>
              </w:tc>
              <w:tc>
                <w:tcPr>
                  <w:tcW w:w="3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E6B8B7"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1770</w:t>
                  </w:r>
                </w:p>
              </w:tc>
            </w:tr>
            <w:tr w:rsidR="00CB586C" w:rsidRPr="00CB586C" w:rsidTr="00125984">
              <w:trPr>
                <w:trHeight w:val="92"/>
              </w:trPr>
              <w:tc>
                <w:tcPr>
                  <w:tcW w:w="18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Приобретение электросетевых объектов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4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39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40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6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9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5</w:t>
                  </w:r>
                </w:p>
              </w:tc>
              <w:tc>
                <w:tcPr>
                  <w:tcW w:w="3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16</w:t>
                  </w:r>
                </w:p>
              </w:tc>
              <w:tc>
                <w:tcPr>
                  <w:tcW w:w="3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86</w:t>
                  </w:r>
                </w:p>
              </w:tc>
            </w:tr>
            <w:tr w:rsidR="00CB586C" w:rsidRPr="00CB586C" w:rsidTr="00125984">
              <w:trPr>
                <w:trHeight w:val="127"/>
              </w:trPr>
              <w:tc>
                <w:tcPr>
                  <w:tcW w:w="18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Аренда электросетевых объектов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33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465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1124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8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109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351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96</w:t>
                  </w:r>
                </w:p>
              </w:tc>
              <w:tc>
                <w:tcPr>
                  <w:tcW w:w="3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587</w:t>
                  </w:r>
                </w:p>
              </w:tc>
              <w:tc>
                <w:tcPr>
                  <w:tcW w:w="3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1587</w:t>
                  </w:r>
                </w:p>
              </w:tc>
            </w:tr>
            <w:tr w:rsidR="00CB586C" w:rsidRPr="00CB586C" w:rsidTr="00125984">
              <w:trPr>
                <w:trHeight w:val="169"/>
              </w:trPr>
              <w:tc>
                <w:tcPr>
                  <w:tcW w:w="18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Прочее (постоянные права владения и пользования)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</w:tr>
            <w:tr w:rsidR="00CB586C" w:rsidRPr="00CB586C" w:rsidTr="00125984">
              <w:trPr>
                <w:trHeight w:val="142"/>
              </w:trPr>
              <w:tc>
                <w:tcPr>
                  <w:tcW w:w="18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B586C" w:rsidRPr="00CB586C" w:rsidRDefault="00CB586C" w:rsidP="00CB586C">
                  <w:pPr>
                    <w:spacing w:after="0" w:line="240" w:lineRule="auto"/>
                    <w:ind w:firstLine="412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Прочее (временные права владения и пользования)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14"/>
                      <w:szCs w:val="14"/>
                      <w:lang w:eastAsia="ru-RU"/>
                    </w:rPr>
                    <w:t>0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2</w:t>
                  </w:r>
                </w:p>
              </w:tc>
              <w:tc>
                <w:tcPr>
                  <w:tcW w:w="3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22</w:t>
                  </w:r>
                </w:p>
              </w:tc>
              <w:tc>
                <w:tcPr>
                  <w:tcW w:w="3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83</w:t>
                  </w:r>
                </w:p>
              </w:tc>
              <w:tc>
                <w:tcPr>
                  <w:tcW w:w="35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3</w:t>
                  </w:r>
                </w:p>
              </w:tc>
              <w:tc>
                <w:tcPr>
                  <w:tcW w:w="3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24</w:t>
                  </w:r>
                </w:p>
              </w:tc>
              <w:tc>
                <w:tcPr>
                  <w:tcW w:w="3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B586C" w:rsidRPr="00CB586C" w:rsidRDefault="00CB586C" w:rsidP="009D70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</w:pPr>
                  <w:r w:rsidRPr="00CB586C">
                    <w:rPr>
                      <w:rFonts w:ascii="Times New Roman" w:eastAsia="Times New Roman" w:hAnsi="Times New Roman" w:cs="Times New Roman"/>
                      <w:bCs/>
                      <w:sz w:val="14"/>
                      <w:szCs w:val="14"/>
                      <w:lang w:eastAsia="ru-RU"/>
                    </w:rPr>
                    <w:t>97</w:t>
                  </w:r>
                </w:p>
              </w:tc>
            </w:tr>
          </w:tbl>
          <w:p w:rsidR="00CB586C" w:rsidRPr="00CB586C" w:rsidRDefault="00CB586C" w:rsidP="00CB586C">
            <w:pPr>
              <w:spacing w:after="0" w:line="240" w:lineRule="auto"/>
              <w:ind w:right="-108" w:firstLine="4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Основные трудности реализации Программы консолидации электросетевых активов -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</w:rPr>
              <w:t>недостижение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согласия собственников объектов от участия в консолидации и отсутствие источника финансирования мероприятий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Аттестация оборудования, материалов и систем на объектах Общества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Решение Совета директоров от 04.06.2014 №190/2014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целях организации в Обществе  работы по аттестации оборудования, материалов и систем в 2014 году издан приказ, которым</w:t>
            </w:r>
          </w:p>
          <w:p w:rsidR="00CB586C" w:rsidRPr="00CB586C" w:rsidRDefault="00CB586C" w:rsidP="00CB586C">
            <w:pPr>
              <w:tabs>
                <w:tab w:val="left" w:pos="130"/>
              </w:tabs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введены в действие порядок и методика проведения аттестации оборудования, материалов и систем в электросетевом комплексе,</w:t>
            </w:r>
          </w:p>
          <w:p w:rsidR="00CB586C" w:rsidRPr="00CB586C" w:rsidRDefault="00CB586C" w:rsidP="00CB586C">
            <w:pPr>
              <w:tabs>
                <w:tab w:val="left" w:pos="130"/>
              </w:tabs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•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  <w:t>назначена комиссия по допуску оборудования, материалов и систем Общества  и утвержден регламент ее работы.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2016 году на рассмотрение комиссии заявки на проведение аттестации  не подавались. Ввиду применения в группе компаний ПАО «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единой технической политики аттестация оборудования, материалов и систем, используемых  в электросетевом комплексе ПАО «Кубаньэнерго», осуществлялась непосредственно ПАО «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Россети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Внедрение системы управления строительством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важнейших инвестиционных проектов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Решение Совета директоров от 18.11.2011,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протокол №121/2011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left="-108" w:right="-108" w:firstLine="28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решением Совета директоров приказом Общества от 14.12.2011 №1101 был утверждён Регламент управления строительством важнейших инвестиционных проектов.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Наличие специализированной информационной системы управления проектами на базе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Oracle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Primavera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(ИСУП) обеспечило исполнение в полном объеме управление 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исполнением Программы строительства олимпийских объектов и развитию города Сочи как горноклиматического курорта по реконструкции и строительству объектов распределительной сети, обеспечивающей надёжное электроснабжение г. Сочи  в период проведения зимних Олимпийских игр в 2014 году и развивающейся инфраструктуры города как горно-климатического курорта.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связи с окончанием Олимпийского строительства в 2014 году Регламент отменен приказом от 14.01.2014 №16, а направление утратило актуальность. В настоящее время информационная система управления проектами на базе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Oracle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Primavera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(ИСУП) не используется, поскольку все возлагавшиеся на нее задачи выполнены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в области охраны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 Общества от 11.01.2016 №2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безопасности энергоснабжения, в том числе снижение общего количества несчастных случаев, включая неучтенные несчастные случаи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Сохранение здоровья и жизни работников Компания считает приоритетным по отношению к любым другим результатам трудовой деятельности, для чего постоянно  проводит работу по обеспечению безопасных условий труда на рабочих местах и по профилактике производственного травматизма и травматизма сторонних лиц на объектах Общества.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27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деятельности  включает в себя реализацию мероприятий Комплексной программы Общества по снижению рисков травматизма персонала и сторонних лиц на объектах электросетевого комплекса на период 2015-2017 гг. (далее – Комплексная программа), утвержденную решением Совета директоров Общества (протокол от 30.12.2014 №201/2014). 23.08.2016 Правление Общества утвердило дополнительные мероприятия по ее реализации</w:t>
            </w:r>
          </w:p>
        </w:tc>
      </w:tr>
      <w:tr w:rsidR="00634D1E" w:rsidRPr="00CB586C" w:rsidTr="00CB586C">
        <w:tc>
          <w:tcPr>
            <w:tcW w:w="425" w:type="dxa"/>
            <w:shd w:val="clear" w:color="auto" w:fill="auto"/>
            <w:vAlign w:val="center"/>
          </w:tcPr>
          <w:p w:rsidR="00634D1E" w:rsidRPr="00CB586C" w:rsidRDefault="00634D1E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34D1E" w:rsidRPr="00CB586C" w:rsidRDefault="00634D1E" w:rsidP="00CD5C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удельных инвестиционных расходов на 30% относительно уровня 2012 года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34D1E" w:rsidRPr="00CB586C" w:rsidRDefault="00634D1E" w:rsidP="00CD5C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 Общества от 08.10.2013 №1226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4D1E" w:rsidRPr="00CB586C" w:rsidRDefault="00634D1E" w:rsidP="00CD5CA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эффективности электросетевого комплекса, в том числе: снижение удельных инвестиционных расходов на 30 процентов относительно уровня 2012 года 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634D1E" w:rsidRPr="00CB586C" w:rsidRDefault="00634D1E" w:rsidP="00CD5CAB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Общества от 08.10.2013 №1226 «Об утверждении Методики планирования снижения инвестиционных затрат на 30% относительно уровня 2012 г. при формировании инвестиционной программы ОАО «Кубаньэнерго»  установлены целевые показатели по снижению удельных инвестиционных расходов на 30% относительно уровня 2012 года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634D1E" w:rsidRPr="00CB586C" w:rsidRDefault="00634D1E" w:rsidP="00CD5CAB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снижения инвестиционных расходов на 2016 год составил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млн. руб. без НДС (22,5%). Фактическое снижение инвестиционных расходов по итогам 2016 года  381 млн. руб. без НДС, что составляет 32%.</w:t>
            </w:r>
          </w:p>
          <w:p w:rsidR="00634D1E" w:rsidRPr="00CB586C" w:rsidRDefault="00634D1E" w:rsidP="00CD5CAB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Удельные показатели строительства (реконструкции) составляют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634D1E" w:rsidRPr="00CB586C" w:rsidRDefault="00634D1E" w:rsidP="00634D1E">
            <w:pPr>
              <w:numPr>
                <w:ilvl w:val="0"/>
                <w:numId w:val="13"/>
              </w:numPr>
              <w:tabs>
                <w:tab w:val="left" w:pos="272"/>
                <w:tab w:val="left" w:pos="459"/>
              </w:tabs>
              <w:spacing w:after="0" w:line="240" w:lineRule="auto"/>
              <w:ind w:left="34"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факт 2012 года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1 971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руб./км; приведенный факт 2016 года - 863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тыс.руб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./км, снижение относительно уровня 2012 года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%;</w:t>
            </w:r>
          </w:p>
          <w:p w:rsidR="00634D1E" w:rsidRPr="00CB586C" w:rsidRDefault="00634D1E" w:rsidP="00634D1E">
            <w:pPr>
              <w:numPr>
                <w:ilvl w:val="0"/>
                <w:numId w:val="13"/>
              </w:numPr>
              <w:tabs>
                <w:tab w:val="left" w:pos="272"/>
                <w:tab w:val="left" w:pos="459"/>
              </w:tabs>
              <w:spacing w:after="0" w:line="240" w:lineRule="auto"/>
              <w:ind w:left="34"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КЛ факт 2012 года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10 578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руб./км; приведенный факт 2016 года – 2 86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./км, снижение относительно уровня 2012 года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%;</w:t>
            </w:r>
          </w:p>
          <w:p w:rsidR="00634D1E" w:rsidRPr="00CB586C" w:rsidRDefault="00634D1E" w:rsidP="00634D1E">
            <w:pPr>
              <w:numPr>
                <w:ilvl w:val="0"/>
                <w:numId w:val="13"/>
              </w:numPr>
              <w:tabs>
                <w:tab w:val="left" w:pos="272"/>
                <w:tab w:val="left" w:pos="459"/>
              </w:tabs>
              <w:spacing w:after="0" w:line="240" w:lineRule="auto"/>
              <w:ind w:left="34"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ПС факт 2012 года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3 471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тыс. руб./МВА; приведенный факт 2016 года – 3 099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./МВА, снижение относительно уровня 2012 года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операционных расходов на 15% к 2017 году с  учетом инфляции относительно уровня 2012 года в расчете на единицу обслуживания электротехнического оборудования.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операционных расходов (затрат) не менее чем на 2-3 процента ежегодно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Решения Совета директоров: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09.06.2015, протокол  №214/2015,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29.12.2015, протокол №228/2015,</w:t>
            </w:r>
          </w:p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22.04.2016, протокол №235/2016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электросетевого комплекса, в том числе: снижение операционных расходов на 15 процентов к 2017 году с учетом инфляции относительно уровня 2012 года в расчете на единицу обслуживания электротехнического оборудования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показатели снижения операционных расходов утверждены решениями Совета директоров Общества.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целях снижения издержек Компания с 2016  года реализует Программу повышения операционной эффективности и сокращения расходов на период 2016–2020 гг. по достижению эффекта от снижения </w:t>
            </w:r>
            <w:proofErr w:type="gram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стоимости обслуживания единицы электротехнического оборудования Общества</w:t>
            </w:r>
            <w:proofErr w:type="gram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целях исполнения директивы Правительства Российской Федерации от 16.04.2015 № 2303-П13 по итогам работы за 2016 год снижение удельных операционных расходов относительно уровня 2015 года составило 196 млн. руб. (3,05 %) при плане 193 млн. руб. (3,00 %).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целях исполнения Стратегии развития электросетевого комплекса РФ Компания обеспечила снижение управляемых операционных расходов в 2016 году по отношению к 2012 году на 623 млн. руб., или 15 %, что соответствует целевому уровню снижения управляемых расходов.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Результатом реализации мероприятий в 2016 году является достижение целевого показателя по снижению стоимости обслуживания единицы электротехнического оборудования в ценах 2012 года (6,13 тыс. руб./у.е.). Фактические удельные расходы в ценах 2012 года сложились в отчетном году в размере 6,12 тыс. руб./у.е.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рамках оптимизации затрат Обществом запланирован комплекс мероприятий, направленный на снижение к 2019 году постоянных операционных расходов в расчете на 1 условную единицу на 15 % от уровня 2012 года. Основные мероприятия для  достижения ключевых показателей эффективности ПАО «Кубаньэнерго» запланированы:</w:t>
            </w:r>
          </w:p>
          <w:p w:rsidR="00CB586C" w:rsidRPr="00CB586C" w:rsidRDefault="00CB586C" w:rsidP="00CB586C">
            <w:pPr>
              <w:numPr>
                <w:ilvl w:val="0"/>
                <w:numId w:val="14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области энергосбережения и энергетической эффективности,</w:t>
            </w:r>
          </w:p>
          <w:p w:rsidR="00CB586C" w:rsidRPr="00CB586C" w:rsidRDefault="00CB586C" w:rsidP="00CB586C">
            <w:pPr>
              <w:numPr>
                <w:ilvl w:val="0"/>
                <w:numId w:val="14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повышению эффективности операционной деятельности,</w:t>
            </w:r>
          </w:p>
          <w:p w:rsidR="00CB586C" w:rsidRPr="00CB586C" w:rsidRDefault="00CB586C" w:rsidP="00CB586C">
            <w:pPr>
              <w:numPr>
                <w:ilvl w:val="0"/>
                <w:numId w:val="14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повышению эффективности инвестиционной деятельности и закупочных процедур,</w:t>
            </w:r>
          </w:p>
          <w:p w:rsidR="00CB586C" w:rsidRPr="00CB586C" w:rsidRDefault="00CB586C" w:rsidP="00CB586C">
            <w:pPr>
              <w:numPr>
                <w:ilvl w:val="0"/>
                <w:numId w:val="14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области повышения производительности труда,</w:t>
            </w:r>
          </w:p>
          <w:p w:rsidR="00CB586C" w:rsidRPr="00CB586C" w:rsidRDefault="00CB586C" w:rsidP="00CB586C">
            <w:pPr>
              <w:numPr>
                <w:ilvl w:val="0"/>
                <w:numId w:val="14"/>
              </w:num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прочей (внереализационной) деятельности</w:t>
            </w:r>
          </w:p>
        </w:tc>
      </w:tr>
      <w:tr w:rsidR="00CB586C" w:rsidRPr="00CB586C" w:rsidTr="00CB586C">
        <w:tc>
          <w:tcPr>
            <w:tcW w:w="425" w:type="dxa"/>
            <w:shd w:val="clear" w:color="auto" w:fill="auto"/>
            <w:vAlign w:val="center"/>
          </w:tcPr>
          <w:p w:rsidR="00CB586C" w:rsidRPr="00CB586C" w:rsidRDefault="00D91335" w:rsidP="00CB586C">
            <w:pPr>
              <w:numPr>
                <w:ilvl w:val="0"/>
                <w:numId w:val="1"/>
              </w:numPr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загрузки мощностей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эффективности электросетевого комплекса, в том числе: повышение загрузки мощностей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CB586C" w:rsidRPr="00CB586C" w:rsidRDefault="00CB586C" w:rsidP="00CB586C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настоящее время по 732 подстанциям 35-110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ПАО «Кубаньэнерго» суммарной мощностью 9 532,53 МВА  резерв (недозагрузка) трансформаторов в режиме </w:t>
            </w:r>
            <w:r w:rsidRPr="00CB586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n-1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1"/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составляет 1 086,78 МВА, т.е. 18,43%, что на 9,57%  меньше значения прошлого отчетного периода. 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141 ПС 35-110 </w:t>
            </w:r>
            <w:proofErr w:type="spellStart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включены в «Перечень перегруженных трансформаторных подстанций ПАО «Кубаньэнерго» в режиме </w:t>
            </w:r>
            <w:r w:rsidRPr="00CB586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n-1</w:t>
            </w: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состоянию на 01.09.2016 с данными замеров за режимный день» по итогам проведения режимных контрольных замеров в 2015/2016 году.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Естественный прирост потребляемой мощности энергосистемы за 2016 год составил 5,4%, кроме того, присоединение новых потребителей приводит к дополнительному увеличению загрузки суммарной мощности энергоустановок ПАО «Кубаньэнерго». </w:t>
            </w:r>
          </w:p>
          <w:p w:rsidR="00CB586C" w:rsidRPr="00CB586C" w:rsidRDefault="00CB586C" w:rsidP="00CB586C">
            <w:pPr>
              <w:spacing w:after="0" w:line="240" w:lineRule="auto"/>
              <w:ind w:right="-108" w:firstLine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5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целом инвестиции в ПАО «Кубаньэнерго» способствуют повышению надежности и улучшению работы отрасли, снижению потерь в электрических сетях. Одновременно с этим рост инвестиций приводит к удорожанию электросетевых услуг в случае, если вводимые мощности остаются незагруженными. В связи с этим целью регулирования электросетевого комплекса является обеспечение высокой загрузки вновь вводимых мощностей</w:t>
            </w:r>
          </w:p>
        </w:tc>
      </w:tr>
    </w:tbl>
    <w:p w:rsidR="00FD45C7" w:rsidRDefault="00FD45C7"/>
    <w:sectPr w:rsidR="00FD45C7" w:rsidSect="00CB586C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22A" w:rsidRDefault="004E222A" w:rsidP="00CB586C">
      <w:pPr>
        <w:spacing w:after="0" w:line="240" w:lineRule="auto"/>
      </w:pPr>
      <w:r>
        <w:separator/>
      </w:r>
    </w:p>
  </w:endnote>
  <w:endnote w:type="continuationSeparator" w:id="0">
    <w:p w:rsidR="004E222A" w:rsidRDefault="004E222A" w:rsidP="00CB5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7227"/>
      <w:docPartObj>
        <w:docPartGallery w:val="Page Numbers (Bottom of Page)"/>
        <w:docPartUnique/>
      </w:docPartObj>
    </w:sdtPr>
    <w:sdtContent>
      <w:p w:rsidR="00D52135" w:rsidRDefault="00D5213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52135" w:rsidRDefault="00D5213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22A" w:rsidRDefault="004E222A" w:rsidP="00CB586C">
      <w:pPr>
        <w:spacing w:after="0" w:line="240" w:lineRule="auto"/>
      </w:pPr>
      <w:r>
        <w:separator/>
      </w:r>
    </w:p>
  </w:footnote>
  <w:footnote w:type="continuationSeparator" w:id="0">
    <w:p w:rsidR="004E222A" w:rsidRDefault="004E222A" w:rsidP="00CB586C">
      <w:pPr>
        <w:spacing w:after="0" w:line="240" w:lineRule="auto"/>
      </w:pPr>
      <w:r>
        <w:continuationSeparator/>
      </w:r>
    </w:p>
  </w:footnote>
  <w:footnote w:id="1">
    <w:p w:rsidR="00CB586C" w:rsidRDefault="00CB586C" w:rsidP="00CB586C">
      <w:pPr>
        <w:pStyle w:val="a3"/>
      </w:pPr>
      <w:r>
        <w:rPr>
          <w:rStyle w:val="a5"/>
        </w:rPr>
        <w:footnoteRef/>
      </w:r>
      <w:r>
        <w:t xml:space="preserve"> </w:t>
      </w:r>
      <w:r w:rsidRPr="00ED7A5D">
        <w:t xml:space="preserve">При аварийном отключении любого элемента электрической сети: линии (одной цепи </w:t>
      </w:r>
      <w:proofErr w:type="spellStart"/>
      <w:r w:rsidRPr="00ED7A5D">
        <w:t>двухцепной</w:t>
      </w:r>
      <w:proofErr w:type="spellEnd"/>
      <w:r w:rsidRPr="00ED7A5D">
        <w:t xml:space="preserve"> линии), трансформатора и т.д. в нормальной схеме сети.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0206"/>
    <w:multiLevelType w:val="hybridMultilevel"/>
    <w:tmpl w:val="88CEA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D5DF1"/>
    <w:multiLevelType w:val="hybridMultilevel"/>
    <w:tmpl w:val="4446A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B73FD"/>
    <w:multiLevelType w:val="hybridMultilevel"/>
    <w:tmpl w:val="F6F6D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62E86"/>
    <w:multiLevelType w:val="hybridMultilevel"/>
    <w:tmpl w:val="2C5A00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A2E37"/>
    <w:multiLevelType w:val="hybridMultilevel"/>
    <w:tmpl w:val="67D0F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94521"/>
    <w:multiLevelType w:val="hybridMultilevel"/>
    <w:tmpl w:val="51BE5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51F62"/>
    <w:multiLevelType w:val="hybridMultilevel"/>
    <w:tmpl w:val="32343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50433"/>
    <w:multiLevelType w:val="hybridMultilevel"/>
    <w:tmpl w:val="74A44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F01E3"/>
    <w:multiLevelType w:val="hybridMultilevel"/>
    <w:tmpl w:val="2B6A0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E01314"/>
    <w:multiLevelType w:val="hybridMultilevel"/>
    <w:tmpl w:val="22441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F73CA"/>
    <w:multiLevelType w:val="hybridMultilevel"/>
    <w:tmpl w:val="A45C0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F420EB"/>
    <w:multiLevelType w:val="hybridMultilevel"/>
    <w:tmpl w:val="3284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620509"/>
    <w:multiLevelType w:val="hybridMultilevel"/>
    <w:tmpl w:val="ADB80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E6C5F"/>
    <w:multiLevelType w:val="hybridMultilevel"/>
    <w:tmpl w:val="68B8E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ED0F54"/>
    <w:multiLevelType w:val="hybridMultilevel"/>
    <w:tmpl w:val="54966554"/>
    <w:lvl w:ilvl="0" w:tplc="A7E816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4"/>
  </w:num>
  <w:num w:numId="11">
    <w:abstractNumId w:val="8"/>
  </w:num>
  <w:num w:numId="12">
    <w:abstractNumId w:val="11"/>
  </w:num>
  <w:num w:numId="13">
    <w:abstractNumId w:val="0"/>
  </w:num>
  <w:num w:numId="14">
    <w:abstractNumId w:val="13"/>
  </w:num>
  <w:num w:numId="15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айдин Евгений Сергеевич">
    <w15:presenceInfo w15:providerId="AD" w15:userId="S-1-5-21-3482931974-750864989-675706477-143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86C"/>
    <w:rsid w:val="000B33B0"/>
    <w:rsid w:val="00261858"/>
    <w:rsid w:val="00433374"/>
    <w:rsid w:val="004E222A"/>
    <w:rsid w:val="00503D04"/>
    <w:rsid w:val="00634D1E"/>
    <w:rsid w:val="009D709D"/>
    <w:rsid w:val="00A461AD"/>
    <w:rsid w:val="00BE5B4E"/>
    <w:rsid w:val="00C313C4"/>
    <w:rsid w:val="00CB586C"/>
    <w:rsid w:val="00CC69A8"/>
    <w:rsid w:val="00D52135"/>
    <w:rsid w:val="00D91335"/>
    <w:rsid w:val="00FD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B586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B586C"/>
    <w:rPr>
      <w:sz w:val="20"/>
      <w:szCs w:val="20"/>
    </w:rPr>
  </w:style>
  <w:style w:type="character" w:styleId="a5">
    <w:name w:val="footnote reference"/>
    <w:uiPriority w:val="99"/>
    <w:rsid w:val="00CB586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D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09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52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2135"/>
  </w:style>
  <w:style w:type="paragraph" w:styleId="aa">
    <w:name w:val="footer"/>
    <w:basedOn w:val="a"/>
    <w:link w:val="ab"/>
    <w:uiPriority w:val="99"/>
    <w:unhideWhenUsed/>
    <w:rsid w:val="00D52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2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B586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B586C"/>
    <w:rPr>
      <w:sz w:val="20"/>
      <w:szCs w:val="20"/>
    </w:rPr>
  </w:style>
  <w:style w:type="character" w:styleId="a5">
    <w:name w:val="footnote reference"/>
    <w:uiPriority w:val="99"/>
    <w:rsid w:val="00CB586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D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09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52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2135"/>
  </w:style>
  <w:style w:type="paragraph" w:styleId="aa">
    <w:name w:val="footer"/>
    <w:basedOn w:val="a"/>
    <w:link w:val="ab"/>
    <w:uiPriority w:val="99"/>
    <w:unhideWhenUsed/>
    <w:rsid w:val="00D52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FEB8C-C09B-4A89-91F8-3340EB65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4171</Words>
  <Characters>23776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Круглова С.И.</dc:creator>
  <cp:lastModifiedBy>Круглова С.И.</cp:lastModifiedBy>
  <cp:revision>3</cp:revision>
  <cp:lastPrinted>2017-04-19T05:38:00Z</cp:lastPrinted>
  <dcterms:created xsi:type="dcterms:W3CDTF">2017-04-12T08:34:00Z</dcterms:created>
  <dcterms:modified xsi:type="dcterms:W3CDTF">2017-04-19T05:40:00Z</dcterms:modified>
</cp:coreProperties>
</file>